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593" w:rsidRPr="00722250" w:rsidRDefault="005268DC" w:rsidP="00537B4F">
      <w:pPr>
        <w:pStyle w:val="NoSpacing"/>
        <w:ind w:left="-567" w:right="-99"/>
        <w:jc w:val="right"/>
        <w:rPr>
          <w:b/>
          <w:color w:val="17365D" w:themeColor="text2" w:themeShade="BF"/>
          <w:sz w:val="24"/>
          <w:szCs w:val="24"/>
        </w:rPr>
      </w:pPr>
      <w:r>
        <w:rPr>
          <w:b/>
          <w:noProof/>
          <w:color w:val="17365D"/>
          <w:sz w:val="36"/>
          <w:szCs w:val="36"/>
          <w:lang w:val="en-GB"/>
        </w:rPr>
        <mc:AlternateContent>
          <mc:Choice Requires="wps">
            <w:drawing>
              <wp:anchor distT="0" distB="0" distL="114300" distR="114300" simplePos="0" relativeHeight="251660288" behindDoc="0" locked="0" layoutInCell="0" allowOverlap="1" wp14:anchorId="4F86A90C" wp14:editId="7C101ED4">
                <wp:simplePos x="0" y="0"/>
                <wp:positionH relativeFrom="page">
                  <wp:posOffset>-2381250</wp:posOffset>
                </wp:positionH>
                <wp:positionV relativeFrom="page">
                  <wp:posOffset>-28575</wp:posOffset>
                </wp:positionV>
                <wp:extent cx="11101705" cy="419100"/>
                <wp:effectExtent l="0" t="0" r="23495" b="381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01705" cy="419100"/>
                        </a:xfrm>
                        <a:prstGeom prst="rect">
                          <a:avLst/>
                        </a:prstGeom>
                        <a:gradFill rotWithShape="1">
                          <a:gsLst>
                            <a:gs pos="0">
                              <a:srgbClr val="4F81BD">
                                <a:alpha val="92000"/>
                              </a:srgbClr>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5268DC" w:rsidRDefault="005268DC" w:rsidP="005268D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1" o:spid="_x0000_s1026" style="position:absolute;left:0;text-align:left;margin-left:-187.5pt;margin-top:-2.25pt;width:874.15pt;height:3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" o:allowincell="f" fillcolor="#4f81bd" stroked="f" strokeweight="0">
                <v:fill opacity="60293f" color2="#365e8f" rotate="t" focusposition=".5,.5" focussize="" focus="100%" type="gradientRadial"/>
                <v:shadow on="t" color="#243f60" offset="1pt"/>
                <v:textbox>
                  <w:txbxContent>
                    <w:p w:rsidR="005268DC" w:rsidRDefault="005268DC" w:rsidP="005268DC">
                      <w:pPr>
                        <w:jc w:val="center"/>
                      </w:pPr>
                    </w:p>
                  </w:txbxContent>
                </v:textbox>
                <w10:wrap anchorx="page" anchory="page"/>
              </v:rect>
            </w:pict>
          </mc:Fallback>
        </mc:AlternateContent>
      </w:r>
    </w:p>
    <w:p w:rsidR="00822507" w:rsidRDefault="00F4646F" w:rsidP="005268DC">
      <w:pPr>
        <w:pStyle w:val="NoSpacing"/>
        <w:jc w:val="right"/>
        <w:rPr>
          <w:rFonts w:cs="Arial"/>
          <w:b/>
          <w:color w:val="17365D"/>
          <w:u w:val="single"/>
        </w:rPr>
      </w:pPr>
      <w:r w:rsidRPr="00537B4F">
        <w:rPr>
          <w:b/>
          <w:noProof/>
          <w:color w:val="17365D"/>
          <w:sz w:val="36"/>
          <w:szCs w:val="36"/>
          <w:lang w:val="en-GB"/>
        </w:rPr>
        <w:drawing>
          <wp:inline distT="0" distB="0" distL="0" distR="0" wp14:anchorId="488A3AA2" wp14:editId="79F83037">
            <wp:extent cx="666750" cy="381000"/>
            <wp:effectExtent l="0" t="0" r="0" b="0"/>
            <wp:docPr id="30" name="Picture 30" descr="GSC_CMYK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SC_CMYK_72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381000"/>
                    </a:xfrm>
                    <a:prstGeom prst="rect">
                      <a:avLst/>
                    </a:prstGeom>
                    <a:noFill/>
                    <a:ln>
                      <a:noFill/>
                    </a:ln>
                  </pic:spPr>
                </pic:pic>
              </a:graphicData>
            </a:graphic>
          </wp:inline>
        </w:drawing>
      </w:r>
    </w:p>
    <w:p w:rsidR="00655244" w:rsidRPr="006479E1" w:rsidRDefault="00655244" w:rsidP="00655244">
      <w:pPr>
        <w:pStyle w:val="NoSpacing"/>
        <w:ind w:left="-567"/>
        <w:rPr>
          <w:rFonts w:asciiTheme="minorHAnsi" w:hAnsiTheme="minorHAnsi" w:cs="Arial"/>
          <w:b/>
          <w:color w:val="17365D"/>
          <w:sz w:val="48"/>
          <w:szCs w:val="48"/>
          <w14:shadow w14:blurRad="50800" w14:dist="50800" w14:dir="5400000" w14:sx="0" w14:sy="0" w14:kx="0" w14:ky="0" w14:algn="ctr">
            <w14:schemeClr w14:val="tx2">
              <w14:lumMod w14:val="75000"/>
            </w14:schemeClr>
          </w14:shadow>
          <w14:reflection w14:blurRad="0" w14:stA="66000" w14:stPos="0" w14:endA="0" w14:endPos="0" w14:dist="0" w14:dir="0" w14:fadeDir="0" w14:sx="0" w14:sy="0" w14:kx="0" w14:ky="0" w14:algn="b"/>
          <w14:textOutline w14:w="9525" w14:cap="rnd" w14:cmpd="dbl" w14:algn="ctr">
            <w14:solidFill>
              <w14:schemeClr w14:val="accent1">
                <w14:alpha w14:val="39000"/>
              </w14:schemeClr>
            </w14:solidFill>
            <w14:prstDash w14:val="solid"/>
            <w14:bevel/>
          </w14:textOutline>
        </w:rPr>
      </w:pPr>
      <w:r w:rsidRPr="006479E1">
        <w:rPr>
          <w:rFonts w:asciiTheme="minorHAnsi" w:hAnsiTheme="minorHAnsi" w:cs="Arial"/>
          <w:b/>
          <w:color w:val="17365D"/>
          <w:sz w:val="48"/>
          <w:szCs w:val="48"/>
          <w14:shadow w14:blurRad="50800" w14:dist="50800" w14:dir="5400000" w14:sx="0" w14:sy="0" w14:kx="0" w14:ky="0" w14:algn="ctr">
            <w14:schemeClr w14:val="tx2">
              <w14:lumMod w14:val="75000"/>
            </w14:schemeClr>
          </w14:shadow>
          <w14:reflection w14:blurRad="0" w14:stA="66000" w14:stPos="0" w14:endA="0" w14:endPos="0" w14:dist="0" w14:dir="0" w14:fadeDir="0" w14:sx="0" w14:sy="0" w14:kx="0" w14:ky="0" w14:algn="b"/>
          <w14:textOutline w14:w="9525" w14:cap="rnd" w14:cmpd="dbl" w14:algn="ctr">
            <w14:solidFill>
              <w14:schemeClr w14:val="accent1">
                <w14:alpha w14:val="39000"/>
              </w14:schemeClr>
            </w14:solidFill>
            <w14:prstDash w14:val="solid"/>
            <w14:bevel/>
          </w14:textOutline>
        </w:rPr>
        <w:t>Employment Law</w:t>
      </w:r>
      <w:r w:rsidR="00D46067" w:rsidRPr="006479E1">
        <w:rPr>
          <w:rFonts w:asciiTheme="minorHAnsi" w:hAnsiTheme="minorHAnsi" w:cs="Arial"/>
          <w:b/>
          <w:color w:val="17365D"/>
          <w:sz w:val="48"/>
          <w:szCs w:val="48"/>
          <w14:shadow w14:blurRad="50800" w14:dist="50800" w14:dir="5400000" w14:sx="0" w14:sy="0" w14:kx="0" w14:ky="0" w14:algn="ctr">
            <w14:schemeClr w14:val="tx2">
              <w14:lumMod w14:val="75000"/>
            </w14:schemeClr>
          </w14:shadow>
          <w14:reflection w14:blurRad="0" w14:stA="66000" w14:stPos="0" w14:endA="0" w14:endPos="0" w14:dist="0" w14:dir="0" w14:fadeDir="0" w14:sx="0" w14:sy="0" w14:kx="0" w14:ky="0" w14:algn="b"/>
          <w14:textOutline w14:w="9525" w14:cap="rnd" w14:cmpd="dbl" w14:algn="ctr">
            <w14:solidFill>
              <w14:schemeClr w14:val="accent1">
                <w14:alpha w14:val="39000"/>
              </w14:schemeClr>
            </w14:solidFill>
            <w14:prstDash w14:val="solid"/>
            <w14:bevel/>
          </w14:textOutline>
        </w:rPr>
        <w:t xml:space="preserve"> Update</w:t>
      </w:r>
    </w:p>
    <w:p w:rsidR="00D46067" w:rsidRPr="006479E1" w:rsidRDefault="00257066" w:rsidP="00D46067">
      <w:pPr>
        <w:pStyle w:val="NoSpacing"/>
        <w:ind w:left="-567"/>
        <w:rPr>
          <w:rFonts w:asciiTheme="minorHAnsi" w:hAnsiTheme="minorHAnsi" w:cs="Arial"/>
          <w:b/>
          <w:color w:val="17365D"/>
          <w:sz w:val="48"/>
          <w:szCs w:val="48"/>
          <w14:shadow w14:blurRad="50800" w14:dist="50800" w14:dir="5400000" w14:sx="0" w14:sy="0" w14:kx="0" w14:ky="0" w14:algn="ctr">
            <w14:schemeClr w14:val="tx2">
              <w14:lumMod w14:val="75000"/>
            </w14:schemeClr>
          </w14:shadow>
          <w14:reflection w14:blurRad="0" w14:stA="66000" w14:stPos="0" w14:endA="0" w14:endPos="0" w14:dist="0" w14:dir="0" w14:fadeDir="0" w14:sx="0" w14:sy="0" w14:kx="0" w14:ky="0" w14:algn="b"/>
          <w14:textOutline w14:w="9525" w14:cap="rnd" w14:cmpd="dbl" w14:algn="ctr">
            <w14:solidFill>
              <w14:schemeClr w14:val="accent1">
                <w14:alpha w14:val="39000"/>
              </w14:schemeClr>
            </w14:solidFill>
            <w14:prstDash w14:val="solid"/>
            <w14:bevel/>
          </w14:textOutline>
        </w:rPr>
      </w:pPr>
      <w:r>
        <w:rPr>
          <w:rFonts w:asciiTheme="minorHAnsi" w:hAnsiTheme="minorHAnsi" w:cs="Arial"/>
          <w:b/>
          <w:color w:val="17365D"/>
          <w:sz w:val="48"/>
          <w:szCs w:val="48"/>
          <w14:shadow w14:blurRad="50800" w14:dist="50800" w14:dir="5400000" w14:sx="0" w14:sy="0" w14:kx="0" w14:ky="0" w14:algn="ctr">
            <w14:schemeClr w14:val="tx2">
              <w14:lumMod w14:val="75000"/>
            </w14:schemeClr>
          </w14:shadow>
          <w14:reflection w14:blurRad="0" w14:stA="66000" w14:stPos="0" w14:endA="0" w14:endPos="0" w14:dist="0" w14:dir="0" w14:fadeDir="0" w14:sx="0" w14:sy="0" w14:kx="0" w14:ky="0" w14:algn="b"/>
          <w14:textOutline w14:w="9525" w14:cap="rnd" w14:cmpd="dbl" w14:algn="ctr">
            <w14:solidFill>
              <w14:schemeClr w14:val="accent1">
                <w14:alpha w14:val="39000"/>
              </w14:schemeClr>
            </w14:solidFill>
            <w14:prstDash w14:val="solid"/>
            <w14:bevel/>
          </w14:textOutline>
        </w:rPr>
        <w:t xml:space="preserve">September </w:t>
      </w:r>
      <w:r w:rsidR="00D46067" w:rsidRPr="006479E1">
        <w:rPr>
          <w:rFonts w:asciiTheme="minorHAnsi" w:hAnsiTheme="minorHAnsi" w:cs="Arial"/>
          <w:b/>
          <w:color w:val="17365D"/>
          <w:sz w:val="48"/>
          <w:szCs w:val="48"/>
          <w14:shadow w14:blurRad="50800" w14:dist="50800" w14:dir="5400000" w14:sx="0" w14:sy="0" w14:kx="0" w14:ky="0" w14:algn="ctr">
            <w14:schemeClr w14:val="tx2">
              <w14:lumMod w14:val="75000"/>
            </w14:schemeClr>
          </w14:shadow>
          <w14:reflection w14:blurRad="0" w14:stA="66000" w14:stPos="0" w14:endA="0" w14:endPos="0" w14:dist="0" w14:dir="0" w14:fadeDir="0" w14:sx="0" w14:sy="0" w14:kx="0" w14:ky="0" w14:algn="b"/>
          <w14:textOutline w14:w="9525" w14:cap="rnd" w14:cmpd="dbl" w14:algn="ctr">
            <w14:solidFill>
              <w14:schemeClr w14:val="accent1">
                <w14:alpha w14:val="39000"/>
              </w14:schemeClr>
            </w14:solidFill>
            <w14:prstDash w14:val="solid"/>
            <w14:bevel/>
          </w14:textOutline>
        </w:rPr>
        <w:t>2017</w:t>
      </w:r>
    </w:p>
    <w:p w:rsidR="00D9330D" w:rsidRPr="00D9330D" w:rsidRDefault="00D9330D" w:rsidP="00D9330D">
      <w:pPr>
        <w:spacing w:after="0" w:line="240" w:lineRule="auto"/>
        <w:ind w:left="-567" w:right="43"/>
        <w:rPr>
          <w:b/>
          <w:color w:val="17365D"/>
          <w:sz w:val="24"/>
          <w:szCs w:val="24"/>
          <w:u w:val="single"/>
        </w:rPr>
      </w:pPr>
    </w:p>
    <w:p w:rsidR="006F19EA" w:rsidRPr="00D9330D" w:rsidRDefault="00C75B1E" w:rsidP="004C0526">
      <w:pPr>
        <w:spacing w:after="0" w:line="240" w:lineRule="auto"/>
        <w:ind w:left="-567" w:right="43"/>
        <w:rPr>
          <w:b/>
          <w:color w:val="17365D"/>
          <w:sz w:val="24"/>
          <w:szCs w:val="24"/>
          <w:u w:val="single"/>
        </w:rPr>
      </w:pPr>
      <w:r w:rsidRPr="00D9330D">
        <w:rPr>
          <w:b/>
          <w:color w:val="17365D"/>
          <w:sz w:val="24"/>
          <w:szCs w:val="24"/>
          <w:u w:val="single"/>
        </w:rPr>
        <w:t>Contents</w:t>
      </w:r>
      <w:r w:rsidR="006F19EA" w:rsidRPr="00D9330D">
        <w:rPr>
          <w:b/>
          <w:color w:val="17365D"/>
          <w:sz w:val="24"/>
          <w:szCs w:val="24"/>
          <w:u w:val="single"/>
        </w:rPr>
        <w:t>:</w:t>
      </w:r>
    </w:p>
    <w:p w:rsidR="00C75B1E" w:rsidRPr="00D9330D" w:rsidRDefault="00C75B1E" w:rsidP="004C0526">
      <w:pPr>
        <w:spacing w:after="0" w:line="240" w:lineRule="auto"/>
        <w:ind w:left="-567" w:right="43"/>
        <w:rPr>
          <w:b/>
          <w:color w:val="17365D"/>
          <w:sz w:val="24"/>
          <w:szCs w:val="24"/>
          <w:u w:val="single"/>
        </w:rPr>
      </w:pPr>
    </w:p>
    <w:p w:rsidR="006F19EA" w:rsidRPr="00D9330D" w:rsidRDefault="006F19EA" w:rsidP="004C0526">
      <w:pPr>
        <w:spacing w:after="0" w:line="240" w:lineRule="auto"/>
        <w:ind w:left="-567" w:right="43"/>
        <w:rPr>
          <w:b/>
          <w:color w:val="17365D"/>
          <w:sz w:val="24"/>
          <w:szCs w:val="24"/>
          <w:u w:val="single"/>
        </w:rPr>
      </w:pPr>
      <w:r w:rsidRPr="00D9330D">
        <w:rPr>
          <w:b/>
          <w:color w:val="17365D"/>
          <w:sz w:val="24"/>
          <w:szCs w:val="24"/>
          <w:u w:val="single"/>
        </w:rPr>
        <w:t>Recent Developments</w:t>
      </w:r>
    </w:p>
    <w:p w:rsidR="006F19EA" w:rsidRPr="00D9330D" w:rsidRDefault="00467C35" w:rsidP="004C0526">
      <w:pPr>
        <w:pStyle w:val="ListParagraph"/>
        <w:numPr>
          <w:ilvl w:val="0"/>
          <w:numId w:val="6"/>
        </w:numPr>
        <w:spacing w:after="0" w:line="240" w:lineRule="auto"/>
        <w:ind w:right="43"/>
        <w:rPr>
          <w:b/>
          <w:color w:val="17365D"/>
          <w:sz w:val="24"/>
          <w:szCs w:val="24"/>
        </w:rPr>
      </w:pPr>
      <w:r>
        <w:rPr>
          <w:b/>
          <w:color w:val="17365D"/>
          <w:sz w:val="24"/>
          <w:szCs w:val="24"/>
        </w:rPr>
        <w:t>Tribunal Fees are now unlawful</w:t>
      </w:r>
    </w:p>
    <w:p w:rsidR="00771085" w:rsidRDefault="00467C35" w:rsidP="004C0526">
      <w:pPr>
        <w:pStyle w:val="ListParagraph"/>
        <w:numPr>
          <w:ilvl w:val="0"/>
          <w:numId w:val="6"/>
        </w:numPr>
        <w:spacing w:after="0" w:line="240" w:lineRule="auto"/>
        <w:ind w:right="43"/>
        <w:rPr>
          <w:b/>
          <w:color w:val="17365D"/>
          <w:sz w:val="24"/>
          <w:szCs w:val="24"/>
        </w:rPr>
      </w:pPr>
      <w:r>
        <w:rPr>
          <w:b/>
          <w:color w:val="17365D"/>
          <w:sz w:val="24"/>
          <w:szCs w:val="24"/>
        </w:rPr>
        <w:t>The Taylor Report – Good Work for All</w:t>
      </w:r>
    </w:p>
    <w:p w:rsidR="00136C01" w:rsidRDefault="00467C35" w:rsidP="004C0526">
      <w:pPr>
        <w:pStyle w:val="ListParagraph"/>
        <w:numPr>
          <w:ilvl w:val="0"/>
          <w:numId w:val="6"/>
        </w:numPr>
        <w:spacing w:after="0" w:line="240" w:lineRule="auto"/>
        <w:ind w:right="43"/>
        <w:rPr>
          <w:b/>
          <w:color w:val="17365D"/>
          <w:sz w:val="24"/>
          <w:szCs w:val="24"/>
        </w:rPr>
      </w:pPr>
      <w:r>
        <w:rPr>
          <w:b/>
          <w:color w:val="17365D"/>
          <w:sz w:val="24"/>
          <w:szCs w:val="24"/>
        </w:rPr>
        <w:t>BBC’s Gender Pay Gap Reporting – A Lesson for other Companies?</w:t>
      </w:r>
    </w:p>
    <w:p w:rsidR="00F90541" w:rsidRPr="00D9330D" w:rsidRDefault="00F90541" w:rsidP="00F90541">
      <w:pPr>
        <w:pStyle w:val="ListParagraph"/>
        <w:spacing w:after="0" w:line="240" w:lineRule="auto"/>
        <w:ind w:left="153" w:right="43"/>
        <w:rPr>
          <w:b/>
          <w:color w:val="17365D"/>
          <w:sz w:val="24"/>
          <w:szCs w:val="24"/>
        </w:rPr>
      </w:pPr>
    </w:p>
    <w:p w:rsidR="00F90541" w:rsidRPr="00D9330D" w:rsidRDefault="00F90541" w:rsidP="00F90541">
      <w:pPr>
        <w:spacing w:after="0" w:line="240" w:lineRule="auto"/>
        <w:ind w:left="-567" w:right="43"/>
        <w:rPr>
          <w:b/>
          <w:color w:val="17365D"/>
          <w:sz w:val="24"/>
          <w:szCs w:val="24"/>
          <w:u w:val="single"/>
        </w:rPr>
      </w:pPr>
      <w:r w:rsidRPr="00D9330D">
        <w:rPr>
          <w:b/>
          <w:color w:val="17365D"/>
          <w:sz w:val="24"/>
          <w:szCs w:val="24"/>
          <w:u w:val="single"/>
        </w:rPr>
        <w:t>Current Rates</w:t>
      </w:r>
    </w:p>
    <w:p w:rsidR="00F90541" w:rsidRPr="00D9330D" w:rsidRDefault="00F90541" w:rsidP="00F90541">
      <w:pPr>
        <w:pStyle w:val="ListParagraph"/>
        <w:numPr>
          <w:ilvl w:val="0"/>
          <w:numId w:val="5"/>
        </w:numPr>
        <w:spacing w:after="0" w:line="240" w:lineRule="auto"/>
        <w:ind w:right="43"/>
        <w:rPr>
          <w:b/>
          <w:color w:val="17365D"/>
          <w:sz w:val="24"/>
          <w:szCs w:val="24"/>
        </w:rPr>
      </w:pPr>
      <w:r w:rsidRPr="00D9330D">
        <w:rPr>
          <w:b/>
          <w:color w:val="17365D"/>
          <w:sz w:val="24"/>
          <w:szCs w:val="24"/>
        </w:rPr>
        <w:t>National Minimum Wage / National Living Wage</w:t>
      </w:r>
    </w:p>
    <w:p w:rsidR="00F90541" w:rsidRPr="00D9330D" w:rsidRDefault="00F90541" w:rsidP="00F90541">
      <w:pPr>
        <w:pStyle w:val="ListParagraph"/>
        <w:numPr>
          <w:ilvl w:val="0"/>
          <w:numId w:val="5"/>
        </w:numPr>
        <w:spacing w:after="0" w:line="240" w:lineRule="auto"/>
        <w:ind w:right="43"/>
        <w:rPr>
          <w:b/>
          <w:color w:val="17365D"/>
          <w:sz w:val="24"/>
          <w:szCs w:val="24"/>
        </w:rPr>
      </w:pPr>
      <w:r w:rsidRPr="00D9330D">
        <w:rPr>
          <w:b/>
          <w:color w:val="17365D"/>
          <w:sz w:val="24"/>
          <w:szCs w:val="24"/>
        </w:rPr>
        <w:t>Employment Protection Awards</w:t>
      </w:r>
    </w:p>
    <w:p w:rsidR="00F90541" w:rsidRDefault="00F90541" w:rsidP="00F90541">
      <w:pPr>
        <w:pStyle w:val="ListParagraph"/>
        <w:numPr>
          <w:ilvl w:val="0"/>
          <w:numId w:val="5"/>
        </w:numPr>
        <w:spacing w:after="0" w:line="240" w:lineRule="auto"/>
        <w:ind w:right="43"/>
        <w:rPr>
          <w:b/>
          <w:color w:val="17365D"/>
          <w:sz w:val="24"/>
          <w:szCs w:val="24"/>
        </w:rPr>
      </w:pPr>
      <w:r w:rsidRPr="00D9330D">
        <w:rPr>
          <w:b/>
          <w:color w:val="17365D"/>
          <w:sz w:val="24"/>
          <w:szCs w:val="24"/>
        </w:rPr>
        <w:t>Maternity and Paternity Pay</w:t>
      </w:r>
    </w:p>
    <w:p w:rsidR="00644159" w:rsidRPr="00D9330D" w:rsidRDefault="00644159" w:rsidP="00F90541">
      <w:pPr>
        <w:pStyle w:val="ListParagraph"/>
        <w:numPr>
          <w:ilvl w:val="0"/>
          <w:numId w:val="5"/>
        </w:numPr>
        <w:spacing w:after="0" w:line="240" w:lineRule="auto"/>
        <w:ind w:right="43"/>
        <w:rPr>
          <w:b/>
          <w:color w:val="17365D"/>
          <w:sz w:val="24"/>
          <w:szCs w:val="24"/>
        </w:rPr>
      </w:pPr>
      <w:r>
        <w:rPr>
          <w:b/>
          <w:color w:val="17365D"/>
          <w:sz w:val="24"/>
          <w:szCs w:val="24"/>
        </w:rPr>
        <w:t>Statutory Sick Pay</w:t>
      </w:r>
      <w:bookmarkStart w:id="0" w:name="_GoBack"/>
      <w:bookmarkEnd w:id="0"/>
    </w:p>
    <w:p w:rsidR="00C75B1E" w:rsidRPr="00D9330D" w:rsidRDefault="00C75B1E" w:rsidP="004C0526">
      <w:pPr>
        <w:spacing w:after="0" w:line="240" w:lineRule="auto"/>
        <w:ind w:left="-567" w:right="43"/>
        <w:rPr>
          <w:b/>
          <w:color w:val="17365D"/>
          <w:sz w:val="24"/>
          <w:szCs w:val="24"/>
          <w:u w:val="single"/>
        </w:rPr>
      </w:pPr>
    </w:p>
    <w:p w:rsidR="00BC0C26" w:rsidRDefault="00155F3E" w:rsidP="00BC0C26">
      <w:pPr>
        <w:spacing w:after="0" w:line="240" w:lineRule="auto"/>
        <w:ind w:left="-1560" w:right="-807"/>
        <w:jc w:val="center"/>
        <w:rPr>
          <w:b/>
          <w:color w:val="17365D"/>
          <w:sz w:val="24"/>
          <w:szCs w:val="24"/>
        </w:rPr>
      </w:pPr>
      <w:r>
        <w:rPr>
          <w:b/>
          <w:noProof/>
          <w:color w:val="17365D"/>
          <w:sz w:val="24"/>
          <w:szCs w:val="24"/>
        </w:rPr>
        <w:drawing>
          <wp:inline distT="0" distB="0" distL="0" distR="0">
            <wp:extent cx="5962650" cy="3352800"/>
            <wp:effectExtent l="228600" t="228600" r="228600" b="228600"/>
            <wp:docPr id="20" name="Picture 20" descr="C:\Users\karen.jones\AppData\Local\Microsoft\Windows\Temporary Internet Files\Content.IE5\LLEBVGHT\9480407946_5e3854d485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ren.jones\AppData\Local\Microsoft\Windows\Temporary Internet Files\Content.IE5\LLEBVGHT\9480407946_5e3854d485_z[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a:effectLst>
                      <a:glow rad="228600">
                        <a:schemeClr val="accent6">
                          <a:satMod val="175000"/>
                          <a:alpha val="40000"/>
                        </a:schemeClr>
                      </a:glow>
                    </a:effectLst>
                  </pic:spPr>
                </pic:pic>
              </a:graphicData>
            </a:graphic>
          </wp:inline>
        </w:drawing>
      </w:r>
    </w:p>
    <w:p w:rsidR="00D9330D" w:rsidRPr="00CB5829" w:rsidRDefault="00D9330D" w:rsidP="00DA6700">
      <w:pPr>
        <w:spacing w:after="0" w:line="240" w:lineRule="atLeast"/>
        <w:jc w:val="right"/>
        <w:rPr>
          <w:rFonts w:cs="Arial"/>
          <w:b/>
          <w:color w:val="17365D"/>
          <w:sz w:val="20"/>
          <w:szCs w:val="20"/>
        </w:rPr>
      </w:pPr>
      <w:r w:rsidRPr="00CB5829">
        <w:rPr>
          <w:rFonts w:cs="Arial"/>
          <w:b/>
          <w:color w:val="17365D"/>
          <w:sz w:val="20"/>
          <w:szCs w:val="20"/>
        </w:rPr>
        <w:t>GSC Solicitors LLP</w:t>
      </w:r>
    </w:p>
    <w:p w:rsidR="00D9330D" w:rsidRPr="00CB5829" w:rsidRDefault="00D9330D" w:rsidP="00DA6700">
      <w:pPr>
        <w:spacing w:after="0" w:line="240" w:lineRule="atLeast"/>
        <w:jc w:val="right"/>
        <w:rPr>
          <w:rFonts w:cs="Arial"/>
          <w:b/>
          <w:color w:val="17365D"/>
          <w:sz w:val="20"/>
          <w:szCs w:val="20"/>
        </w:rPr>
      </w:pPr>
      <w:r w:rsidRPr="00CB5829">
        <w:rPr>
          <w:rFonts w:cs="Arial"/>
          <w:b/>
          <w:color w:val="17365D"/>
          <w:sz w:val="20"/>
          <w:szCs w:val="20"/>
        </w:rPr>
        <w:t>31-32 Ely Place</w:t>
      </w:r>
    </w:p>
    <w:p w:rsidR="00D9330D" w:rsidRPr="00FD06AF" w:rsidRDefault="00D9330D" w:rsidP="00DA6700">
      <w:pPr>
        <w:spacing w:after="0" w:line="180" w:lineRule="exact"/>
        <w:jc w:val="right"/>
        <w:rPr>
          <w:rFonts w:cs="Arial"/>
          <w:b/>
          <w:color w:val="17365D"/>
          <w:sz w:val="20"/>
          <w:szCs w:val="20"/>
          <w:lang w:val="fr-FR"/>
        </w:rPr>
      </w:pPr>
      <w:r w:rsidRPr="00FD06AF">
        <w:rPr>
          <w:rFonts w:cs="Arial"/>
          <w:b/>
          <w:color w:val="17365D"/>
          <w:sz w:val="20"/>
          <w:szCs w:val="20"/>
          <w:lang w:val="fr-FR"/>
        </w:rPr>
        <w:t>London   EC1N 6TD</w:t>
      </w:r>
    </w:p>
    <w:p w:rsidR="00D9330D" w:rsidRPr="00FD06AF" w:rsidRDefault="00D9330D" w:rsidP="00DA6700">
      <w:pPr>
        <w:spacing w:after="0" w:line="180" w:lineRule="exact"/>
        <w:jc w:val="right"/>
        <w:rPr>
          <w:rFonts w:cs="Arial"/>
          <w:b/>
          <w:color w:val="17365D"/>
          <w:sz w:val="20"/>
          <w:szCs w:val="20"/>
          <w:lang w:val="fr-FR"/>
        </w:rPr>
      </w:pPr>
    </w:p>
    <w:p w:rsidR="00D9330D" w:rsidRPr="00FD06AF" w:rsidRDefault="00D9330D" w:rsidP="00DA6700">
      <w:pPr>
        <w:spacing w:after="0" w:line="180" w:lineRule="exact"/>
        <w:jc w:val="right"/>
        <w:rPr>
          <w:rFonts w:cs="Arial"/>
          <w:b/>
          <w:color w:val="17365D"/>
          <w:sz w:val="20"/>
          <w:szCs w:val="20"/>
          <w:lang w:val="fr-FR"/>
        </w:rPr>
      </w:pPr>
      <w:r w:rsidRPr="00FD06AF">
        <w:rPr>
          <w:rFonts w:cs="Arial"/>
          <w:b/>
          <w:color w:val="17365D"/>
          <w:sz w:val="20"/>
          <w:szCs w:val="20"/>
          <w:lang w:val="fr-FR"/>
        </w:rPr>
        <w:t>DX 462 London/Chancery Lane</w:t>
      </w:r>
    </w:p>
    <w:p w:rsidR="00D9330D" w:rsidRDefault="00D9330D" w:rsidP="00DA6700">
      <w:pPr>
        <w:spacing w:after="0" w:line="180" w:lineRule="exact"/>
        <w:jc w:val="right"/>
        <w:rPr>
          <w:rFonts w:cs="Arial"/>
          <w:b/>
          <w:color w:val="17365D"/>
          <w:sz w:val="20"/>
          <w:szCs w:val="20"/>
          <w:lang w:val="fr-FR"/>
        </w:rPr>
      </w:pPr>
    </w:p>
    <w:p w:rsidR="00D9330D" w:rsidRPr="00CB5829" w:rsidRDefault="00D9330D" w:rsidP="00DA6700">
      <w:pPr>
        <w:spacing w:after="0" w:line="180" w:lineRule="exact"/>
        <w:jc w:val="right"/>
        <w:rPr>
          <w:rFonts w:cs="Arial"/>
          <w:b/>
          <w:color w:val="17365D"/>
          <w:sz w:val="20"/>
          <w:szCs w:val="20"/>
          <w:lang w:val="fr-FR"/>
        </w:rPr>
      </w:pPr>
      <w:r w:rsidRPr="00CB5829">
        <w:rPr>
          <w:rFonts w:cs="Arial"/>
          <w:b/>
          <w:color w:val="17365D"/>
          <w:sz w:val="20"/>
          <w:szCs w:val="20"/>
          <w:lang w:val="fr-FR"/>
        </w:rPr>
        <w:t>T: +44 (0)20 7822 2222</w:t>
      </w:r>
    </w:p>
    <w:p w:rsidR="00D9330D" w:rsidRPr="00CB5829" w:rsidRDefault="00D9330D" w:rsidP="00DA6700">
      <w:pPr>
        <w:spacing w:after="0" w:line="180" w:lineRule="exact"/>
        <w:jc w:val="right"/>
        <w:rPr>
          <w:rFonts w:cs="Arial"/>
          <w:b/>
          <w:color w:val="17365D"/>
          <w:sz w:val="20"/>
          <w:szCs w:val="20"/>
          <w:lang w:val="fr-FR"/>
        </w:rPr>
      </w:pPr>
      <w:r w:rsidRPr="00CB5829">
        <w:rPr>
          <w:rFonts w:cs="Arial"/>
          <w:b/>
          <w:color w:val="17365D"/>
          <w:sz w:val="20"/>
          <w:szCs w:val="20"/>
          <w:lang w:val="fr-FR"/>
        </w:rPr>
        <w:t>F: +44 (0)20 7822 2211</w:t>
      </w:r>
    </w:p>
    <w:p w:rsidR="00D9330D" w:rsidRDefault="00D9330D" w:rsidP="00DA6700">
      <w:pPr>
        <w:spacing w:after="0" w:line="180" w:lineRule="exact"/>
        <w:jc w:val="right"/>
        <w:rPr>
          <w:rFonts w:cs="Arial"/>
          <w:b/>
          <w:color w:val="17365D"/>
          <w:sz w:val="20"/>
          <w:szCs w:val="20"/>
          <w:lang w:val="fr-FR"/>
        </w:rPr>
      </w:pPr>
    </w:p>
    <w:p w:rsidR="00D9330D" w:rsidRPr="00CB5829" w:rsidRDefault="00D9330D" w:rsidP="00DA6700">
      <w:pPr>
        <w:spacing w:after="0" w:line="180" w:lineRule="exact"/>
        <w:jc w:val="right"/>
        <w:rPr>
          <w:rFonts w:cs="Arial"/>
          <w:b/>
          <w:color w:val="17365D"/>
          <w:sz w:val="20"/>
          <w:szCs w:val="20"/>
          <w:lang w:val="fr-FR"/>
        </w:rPr>
      </w:pPr>
      <w:r w:rsidRPr="00CB5829">
        <w:rPr>
          <w:rFonts w:cs="Arial"/>
          <w:b/>
          <w:color w:val="17365D"/>
          <w:sz w:val="20"/>
          <w:szCs w:val="20"/>
          <w:lang w:val="fr-FR"/>
        </w:rPr>
        <w:t>E: info@gscsolicitors.com</w:t>
      </w:r>
    </w:p>
    <w:p w:rsidR="00250068" w:rsidRDefault="00644159" w:rsidP="00DA6700">
      <w:pPr>
        <w:spacing w:after="0" w:line="180" w:lineRule="exact"/>
        <w:jc w:val="right"/>
        <w:rPr>
          <w:rFonts w:cs="Arial"/>
          <w:b/>
          <w:color w:val="17365D"/>
          <w:sz w:val="20"/>
          <w:szCs w:val="20"/>
          <w:lang w:val="fr-FR"/>
        </w:rPr>
      </w:pPr>
      <w:hyperlink r:id="rId11" w:history="1">
        <w:r w:rsidR="00250068" w:rsidRPr="00D23F35">
          <w:rPr>
            <w:rStyle w:val="Hyperlink"/>
            <w:rFonts w:cs="Arial"/>
            <w:b/>
            <w:sz w:val="20"/>
            <w:szCs w:val="20"/>
            <w:lang w:val="fr-FR"/>
          </w:rPr>
          <w:t>www.gscsolicitors.com</w:t>
        </w:r>
      </w:hyperlink>
    </w:p>
    <w:p w:rsidR="00D908D7" w:rsidRDefault="00D908D7" w:rsidP="00DA6700">
      <w:pPr>
        <w:spacing w:after="0" w:line="180" w:lineRule="exact"/>
        <w:jc w:val="right"/>
        <w:rPr>
          <w:b/>
          <w:color w:val="17365D" w:themeColor="text2" w:themeShade="BF"/>
        </w:rPr>
      </w:pPr>
    </w:p>
    <w:p w:rsidR="00E661F6" w:rsidRDefault="00D908D7" w:rsidP="00D908D7">
      <w:pPr>
        <w:spacing w:after="240" w:line="240" w:lineRule="auto"/>
        <w:ind w:left="-567" w:right="43"/>
        <w:jc w:val="right"/>
        <w:rPr>
          <w:b/>
          <w:color w:val="17365D" w:themeColor="text2" w:themeShade="BF"/>
        </w:rPr>
      </w:pPr>
      <w:r w:rsidRPr="00537B4F">
        <w:rPr>
          <w:b/>
          <w:noProof/>
          <w:color w:val="17365D"/>
          <w:sz w:val="36"/>
          <w:szCs w:val="36"/>
        </w:rPr>
        <w:lastRenderedPageBreak/>
        <w:drawing>
          <wp:inline distT="0" distB="0" distL="0" distR="0" wp14:anchorId="0AF626F4" wp14:editId="204126CD">
            <wp:extent cx="666750" cy="381000"/>
            <wp:effectExtent l="0" t="0" r="0" b="0"/>
            <wp:docPr id="2" name="Picture 2" descr="GSC_CMYK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SC_CMYK_72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381000"/>
                    </a:xfrm>
                    <a:prstGeom prst="rect">
                      <a:avLst/>
                    </a:prstGeom>
                    <a:noFill/>
                    <a:ln>
                      <a:noFill/>
                    </a:ln>
                  </pic:spPr>
                </pic:pic>
              </a:graphicData>
            </a:graphic>
          </wp:inline>
        </w:drawing>
      </w:r>
    </w:p>
    <w:p w:rsidR="00507500" w:rsidRPr="00F90541" w:rsidRDefault="00EC4C16" w:rsidP="00EC4C16">
      <w:pPr>
        <w:keepNext/>
        <w:spacing w:after="240" w:line="240" w:lineRule="auto"/>
        <w:ind w:left="-567" w:right="45"/>
        <w:jc w:val="center"/>
        <w:rPr>
          <w:rFonts w:cs="Arial"/>
          <w:b/>
          <w:color w:val="17365D" w:themeColor="text2" w:themeShade="BF"/>
          <w:sz w:val="28"/>
          <w:szCs w:val="28"/>
        </w:rPr>
      </w:pPr>
      <w:r>
        <w:rPr>
          <w:b/>
          <w:noProof/>
          <w:color w:val="17365D" w:themeColor="text2" w:themeShade="BF"/>
          <w:sz w:val="26"/>
          <w:szCs w:val="26"/>
        </w:rPr>
        <w:drawing>
          <wp:anchor distT="0" distB="0" distL="114300" distR="114300" simplePos="0" relativeHeight="251673600" behindDoc="1" locked="0" layoutInCell="1" allowOverlap="1" wp14:anchorId="7F397753" wp14:editId="5AA39600">
            <wp:simplePos x="0" y="0"/>
            <wp:positionH relativeFrom="column">
              <wp:posOffset>4800600</wp:posOffset>
            </wp:positionH>
            <wp:positionV relativeFrom="paragraph">
              <wp:posOffset>315595</wp:posOffset>
            </wp:positionV>
            <wp:extent cx="1143000" cy="1143000"/>
            <wp:effectExtent l="0" t="0" r="0" b="0"/>
            <wp:wrapTight wrapText="bothSides">
              <wp:wrapPolygon edited="0">
                <wp:start x="9360" y="0"/>
                <wp:lineTo x="3600" y="1440"/>
                <wp:lineTo x="2160" y="2880"/>
                <wp:lineTo x="2160" y="6480"/>
                <wp:lineTo x="720" y="12240"/>
                <wp:lineTo x="0" y="15840"/>
                <wp:lineTo x="0" y="17280"/>
                <wp:lineTo x="2160" y="18000"/>
                <wp:lineTo x="3600" y="20880"/>
                <wp:lineTo x="3960" y="21240"/>
                <wp:lineTo x="17640" y="21240"/>
                <wp:lineTo x="18000" y="20880"/>
                <wp:lineTo x="19440" y="18000"/>
                <wp:lineTo x="20880" y="17640"/>
                <wp:lineTo x="21240" y="16200"/>
                <wp:lineTo x="19800" y="3240"/>
                <wp:lineTo x="17640" y="1440"/>
                <wp:lineTo x="11880" y="0"/>
                <wp:lineTo x="9360" y="0"/>
              </wp:wrapPolygon>
            </wp:wrapTight>
            <wp:docPr id="24" name="Picture 24" descr="C:\Users\karen.jones\AppData\Local\Microsoft\Windows\Temporary Internet Files\Content.IE5\9YR0TW6I\120px-Icon-Rechtshinweis-blau2-Asio.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ren.jones\AppData\Local\Microsoft\Windows\Temporary Internet Files\Content.IE5\9YR0TW6I\120px-Icon-Rechtshinweis-blau2-Asio.svg[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500" w:rsidRPr="00F90541">
        <w:rPr>
          <w:rFonts w:cs="Arial"/>
          <w:b/>
          <w:color w:val="17365D" w:themeColor="text2" w:themeShade="BF"/>
          <w:sz w:val="28"/>
          <w:szCs w:val="28"/>
        </w:rPr>
        <w:t>RECENT DEVEL</w:t>
      </w:r>
      <w:r w:rsidR="006378E2" w:rsidRPr="00F90541">
        <w:rPr>
          <w:rFonts w:cs="Arial"/>
          <w:b/>
          <w:color w:val="17365D" w:themeColor="text2" w:themeShade="BF"/>
          <w:sz w:val="28"/>
          <w:szCs w:val="28"/>
        </w:rPr>
        <w:t>OPMENTS</w:t>
      </w:r>
    </w:p>
    <w:p w:rsidR="006378E2" w:rsidRPr="00BC0C26" w:rsidRDefault="00F464E0" w:rsidP="00EC4C16">
      <w:pPr>
        <w:spacing w:after="240" w:line="240" w:lineRule="auto"/>
        <w:ind w:left="-567"/>
        <w:jc w:val="both"/>
        <w:rPr>
          <w:b/>
          <w:color w:val="17365D" w:themeColor="text2" w:themeShade="BF"/>
          <w:sz w:val="26"/>
          <w:szCs w:val="26"/>
        </w:rPr>
      </w:pPr>
      <w:r w:rsidRPr="00BC0C26">
        <w:rPr>
          <w:b/>
          <w:color w:val="17365D" w:themeColor="text2" w:themeShade="BF"/>
          <w:sz w:val="26"/>
          <w:szCs w:val="26"/>
        </w:rPr>
        <w:t>T</w:t>
      </w:r>
      <w:r w:rsidR="00250068" w:rsidRPr="00BC0C26">
        <w:rPr>
          <w:b/>
          <w:color w:val="17365D" w:themeColor="text2" w:themeShade="BF"/>
          <w:sz w:val="26"/>
          <w:szCs w:val="26"/>
        </w:rPr>
        <w:t>ribuna</w:t>
      </w:r>
      <w:r w:rsidRPr="00BC0C26">
        <w:rPr>
          <w:b/>
          <w:color w:val="17365D" w:themeColor="text2" w:themeShade="BF"/>
          <w:sz w:val="26"/>
          <w:szCs w:val="26"/>
        </w:rPr>
        <w:t>l fees are now unlawful</w:t>
      </w:r>
    </w:p>
    <w:p w:rsidR="00F464E0" w:rsidRPr="00EC4C16" w:rsidRDefault="00F464E0" w:rsidP="00EC4C16">
      <w:pPr>
        <w:spacing w:after="240" w:line="240" w:lineRule="auto"/>
        <w:ind w:left="-567"/>
        <w:jc w:val="both"/>
        <w:rPr>
          <w:b/>
          <w:sz w:val="24"/>
          <w:szCs w:val="24"/>
          <w:u w:val="single"/>
        </w:rPr>
      </w:pPr>
      <w:r w:rsidRPr="00EC4C16">
        <w:rPr>
          <w:b/>
          <w:color w:val="17365D" w:themeColor="text2" w:themeShade="BF"/>
          <w:sz w:val="24"/>
          <w:szCs w:val="24"/>
          <w:u w:val="single"/>
        </w:rPr>
        <w:t>R (on the application of Unison</w:t>
      </w:r>
      <w:r w:rsidR="00DF4895">
        <w:rPr>
          <w:b/>
          <w:color w:val="17365D" w:themeColor="text2" w:themeShade="BF"/>
          <w:sz w:val="24"/>
          <w:szCs w:val="24"/>
          <w:u w:val="single"/>
        </w:rPr>
        <w:t>)</w:t>
      </w:r>
      <w:r w:rsidRPr="00EC4C16">
        <w:rPr>
          <w:b/>
          <w:color w:val="17365D" w:themeColor="text2" w:themeShade="BF"/>
          <w:sz w:val="24"/>
          <w:szCs w:val="24"/>
          <w:u w:val="single"/>
        </w:rPr>
        <w:t xml:space="preserve"> v Lord Chancellor 2017</w:t>
      </w:r>
    </w:p>
    <w:p w:rsidR="006378E2" w:rsidRPr="00DF4895" w:rsidRDefault="00F81C4D" w:rsidP="00EC4C16">
      <w:pPr>
        <w:spacing w:after="240" w:line="240" w:lineRule="auto"/>
        <w:ind w:left="-567"/>
        <w:jc w:val="both"/>
        <w:rPr>
          <w:i/>
        </w:rPr>
      </w:pPr>
      <w:r w:rsidRPr="00DF4895">
        <w:rPr>
          <w:i/>
        </w:rPr>
        <w:t>In a surprising judgment based on the principle of access to justice, t</w:t>
      </w:r>
      <w:r w:rsidR="00F464E0" w:rsidRPr="00DF4895">
        <w:rPr>
          <w:i/>
        </w:rPr>
        <w:t xml:space="preserve">he Supreme Court has declared </w:t>
      </w:r>
      <w:r w:rsidRPr="00DF4895">
        <w:rPr>
          <w:i/>
        </w:rPr>
        <w:t>e</w:t>
      </w:r>
      <w:r w:rsidR="00F464E0" w:rsidRPr="00DF4895">
        <w:rPr>
          <w:i/>
        </w:rPr>
        <w:t xml:space="preserve">mployment </w:t>
      </w:r>
      <w:r w:rsidRPr="00DF4895">
        <w:rPr>
          <w:i/>
        </w:rPr>
        <w:t>tribunal fees to be unlawful</w:t>
      </w:r>
      <w:r w:rsidR="002C2BF7" w:rsidRPr="00DF4895">
        <w:rPr>
          <w:i/>
        </w:rPr>
        <w:t>.</w:t>
      </w:r>
      <w:r w:rsidRPr="00DF4895">
        <w:rPr>
          <w:i/>
        </w:rPr>
        <w:t xml:space="preserve">  F</w:t>
      </w:r>
      <w:r w:rsidR="00C4563C" w:rsidRPr="00DF4895">
        <w:rPr>
          <w:i/>
        </w:rPr>
        <w:t>ollowing confirmation from the G</w:t>
      </w:r>
      <w:r w:rsidRPr="00DF4895">
        <w:rPr>
          <w:i/>
        </w:rPr>
        <w:t>overnment, the</w:t>
      </w:r>
      <w:r w:rsidR="002C2BF7" w:rsidRPr="00DF4895">
        <w:rPr>
          <w:i/>
        </w:rPr>
        <w:t xml:space="preserve"> immediate consequence is that </w:t>
      </w:r>
      <w:proofErr w:type="gramStart"/>
      <w:r w:rsidRPr="00DF4895">
        <w:rPr>
          <w:i/>
        </w:rPr>
        <w:t>t</w:t>
      </w:r>
      <w:r w:rsidR="002C2BF7" w:rsidRPr="00DF4895">
        <w:rPr>
          <w:i/>
        </w:rPr>
        <w:t>ribunals</w:t>
      </w:r>
      <w:proofErr w:type="gramEnd"/>
      <w:r w:rsidR="002C2BF7" w:rsidRPr="00DF4895">
        <w:rPr>
          <w:i/>
        </w:rPr>
        <w:t xml:space="preserve"> </w:t>
      </w:r>
      <w:r w:rsidRPr="00DF4895">
        <w:rPr>
          <w:i/>
        </w:rPr>
        <w:t>will</w:t>
      </w:r>
      <w:r w:rsidR="002C2BF7" w:rsidRPr="00DF4895">
        <w:rPr>
          <w:i/>
        </w:rPr>
        <w:t xml:space="preserve"> no longer charge fees and those who have paid fees over the past four years </w:t>
      </w:r>
      <w:r w:rsidRPr="00DF4895">
        <w:rPr>
          <w:i/>
        </w:rPr>
        <w:t>will be</w:t>
      </w:r>
      <w:r w:rsidR="002C2BF7" w:rsidRPr="00DF4895">
        <w:rPr>
          <w:i/>
        </w:rPr>
        <w:t xml:space="preserve"> entitled to a refund.  This is unprecedented.  </w:t>
      </w:r>
    </w:p>
    <w:p w:rsidR="006378E2" w:rsidRPr="003E4393" w:rsidRDefault="006378E2" w:rsidP="00EC4C16">
      <w:pPr>
        <w:spacing w:after="240" w:line="240" w:lineRule="auto"/>
        <w:ind w:left="-567"/>
        <w:jc w:val="both"/>
        <w:rPr>
          <w:b/>
          <w:color w:val="17365D" w:themeColor="text2" w:themeShade="BF"/>
        </w:rPr>
      </w:pPr>
      <w:r w:rsidRPr="003E4393">
        <w:rPr>
          <w:b/>
          <w:color w:val="17365D" w:themeColor="text2" w:themeShade="BF"/>
        </w:rPr>
        <w:t>Background</w:t>
      </w:r>
    </w:p>
    <w:p w:rsidR="002C2BF7" w:rsidRDefault="002C2BF7" w:rsidP="00EC4C16">
      <w:pPr>
        <w:spacing w:after="240" w:line="240" w:lineRule="auto"/>
        <w:ind w:left="-567"/>
        <w:jc w:val="both"/>
      </w:pPr>
      <w:r>
        <w:t xml:space="preserve">Before 29 July 2013, no fees were </w:t>
      </w:r>
      <w:r w:rsidR="00DB76F2">
        <w:t>required</w:t>
      </w:r>
      <w:r>
        <w:t xml:space="preserve"> to issue a claim in the Employment Tribunal or Employment Appeal Tribunal.  This was in contrast to the </w:t>
      </w:r>
      <w:r w:rsidR="00F90541">
        <w:t>c</w:t>
      </w:r>
      <w:r>
        <w:t xml:space="preserve">ivil Courts where fees are payable, </w:t>
      </w:r>
      <w:r w:rsidR="00DB76F2">
        <w:t>based</w:t>
      </w:r>
      <w:r>
        <w:t xml:space="preserve"> on the value of the claim.  </w:t>
      </w:r>
    </w:p>
    <w:p w:rsidR="002C2BF7" w:rsidRDefault="002C2BF7" w:rsidP="00EC4C16">
      <w:pPr>
        <w:spacing w:after="240" w:line="240" w:lineRule="auto"/>
        <w:ind w:left="-567"/>
        <w:jc w:val="both"/>
      </w:pPr>
      <w:r>
        <w:t>Partly due to pressure from employer</w:t>
      </w:r>
      <w:r w:rsidR="00DB76F2">
        <w:t xml:space="preserve"> </w:t>
      </w:r>
      <w:r>
        <w:t>organisations</w:t>
      </w:r>
      <w:r w:rsidR="00DB76F2">
        <w:t xml:space="preserve"> to reduce spurious tribunal claims</w:t>
      </w:r>
      <w:r>
        <w:t xml:space="preserve">, fees were introduced on 29 July 2013.  The </w:t>
      </w:r>
      <w:r w:rsidR="00DB76F2">
        <w:t xml:space="preserve">stated aims in the </w:t>
      </w:r>
      <w:r w:rsidR="00F90541">
        <w:t>T</w:t>
      </w:r>
      <w:r w:rsidR="00DB76F2">
        <w:t>ribunal F</w:t>
      </w:r>
      <w:r>
        <w:t xml:space="preserve">ees </w:t>
      </w:r>
      <w:r w:rsidR="00DB76F2">
        <w:t>O</w:t>
      </w:r>
      <w:r>
        <w:t xml:space="preserve">rder </w:t>
      </w:r>
      <w:r w:rsidR="00DB76F2">
        <w:t xml:space="preserve">2013 </w:t>
      </w:r>
      <w:r w:rsidR="00EC4C16">
        <w:t>were</w:t>
      </w:r>
      <w:r>
        <w:t xml:space="preserve"> </w:t>
      </w:r>
      <w:r w:rsidR="00DB76F2">
        <w:t xml:space="preserve">to (1) </w:t>
      </w:r>
      <w:r>
        <w:t xml:space="preserve">transfer part of the costs of tribunals from the taxpayer to tribunal users, </w:t>
      </w:r>
      <w:r w:rsidR="00DB76F2">
        <w:t xml:space="preserve">(2) </w:t>
      </w:r>
      <w:r>
        <w:t xml:space="preserve">deter unmeritorious claims and </w:t>
      </w:r>
      <w:r w:rsidR="00DB76F2">
        <w:t xml:space="preserve">(3) </w:t>
      </w:r>
      <w:r>
        <w:t>encourage earlier settlement</w:t>
      </w:r>
      <w:r w:rsidR="00F90541">
        <w:t>s</w:t>
      </w:r>
      <w:r>
        <w:t xml:space="preserve">.  </w:t>
      </w:r>
    </w:p>
    <w:p w:rsidR="002C2BF7" w:rsidRDefault="002C2BF7" w:rsidP="00EC4C16">
      <w:pPr>
        <w:spacing w:after="240" w:line="240" w:lineRule="auto"/>
        <w:ind w:left="-567"/>
        <w:jc w:val="both"/>
      </w:pPr>
      <w:r>
        <w:t xml:space="preserve">There were two types of fees: type </w:t>
      </w:r>
      <w:proofErr w:type="gramStart"/>
      <w:r>
        <w:t>A</w:t>
      </w:r>
      <w:proofErr w:type="gramEnd"/>
      <w:r>
        <w:t xml:space="preserve"> claims - covered breach of contract and unlawful deduction of wages (total £390) and type B claims – unfair dismissal, equal pay and discrimination - £1,200 (total).  The fees were payable in stages being £160 for the issue of a type A claim and £250 for the issue of a type B claim.  The balance of the fees was paid when the case was listed for a hearing.</w:t>
      </w:r>
    </w:p>
    <w:p w:rsidR="002C2BF7" w:rsidRDefault="002C2BF7" w:rsidP="00EC4C16">
      <w:pPr>
        <w:spacing w:after="240" w:line="240" w:lineRule="auto"/>
        <w:ind w:left="-567"/>
        <w:jc w:val="both"/>
      </w:pPr>
      <w:r>
        <w:t xml:space="preserve">The Order did provide for a remission system in which claimants whose income was below a certain amount would not be required to pay the fees or </w:t>
      </w:r>
      <w:r w:rsidR="00DB76F2">
        <w:t>if</w:t>
      </w:r>
      <w:r>
        <w:t xml:space="preserve"> exceptional circumstances</w:t>
      </w:r>
      <w:r w:rsidR="00DB76F2">
        <w:t xml:space="preserve"> applied</w:t>
      </w:r>
      <w:r>
        <w:t xml:space="preserve">.  In practice, the remission </w:t>
      </w:r>
      <w:r w:rsidR="00DB76F2">
        <w:t xml:space="preserve">income </w:t>
      </w:r>
      <w:r>
        <w:t xml:space="preserve">level was set too </w:t>
      </w:r>
      <w:r w:rsidR="00DB76F2">
        <w:t>low</w:t>
      </w:r>
      <w:r>
        <w:t xml:space="preserve"> and very few people qualified.</w:t>
      </w:r>
    </w:p>
    <w:p w:rsidR="00584218" w:rsidRDefault="00584218" w:rsidP="00EC4C16">
      <w:pPr>
        <w:spacing w:after="240" w:line="240" w:lineRule="auto"/>
        <w:ind w:left="-567"/>
        <w:jc w:val="both"/>
      </w:pPr>
      <w:r>
        <w:t xml:space="preserve">The fees were </w:t>
      </w:r>
      <w:r w:rsidR="00DB76F2">
        <w:t>subject to immense criticism, not least as the</w:t>
      </w:r>
      <w:r w:rsidR="00F90541">
        <w:t xml:space="preserve">re was no </w:t>
      </w:r>
      <w:r>
        <w:t xml:space="preserve">sliding scale </w:t>
      </w:r>
      <w:r w:rsidR="00F90541">
        <w:t>relating</w:t>
      </w:r>
      <w:r>
        <w:t xml:space="preserve"> to the value of the claim</w:t>
      </w:r>
      <w:r w:rsidR="00F90541">
        <w:t>,</w:t>
      </w:r>
      <w:r w:rsidR="00DB76F2">
        <w:t xml:space="preserve"> making it difficult for those on low incomes to bring claims</w:t>
      </w:r>
      <w:r>
        <w:t xml:space="preserve">.  The </w:t>
      </w:r>
      <w:r w:rsidR="00DB76F2">
        <w:t>G</w:t>
      </w:r>
      <w:r>
        <w:t>overnment did conduct various reviews of the fees</w:t>
      </w:r>
      <w:r w:rsidR="00F90541">
        <w:t>,</w:t>
      </w:r>
      <w:r>
        <w:t xml:space="preserve"> </w:t>
      </w:r>
      <w:r w:rsidR="00DB76F2">
        <w:t>but</w:t>
      </w:r>
      <w:r>
        <w:t xml:space="preserve"> the only changes it agreed to make </w:t>
      </w:r>
      <w:r w:rsidR="00DB76F2">
        <w:t xml:space="preserve">in </w:t>
      </w:r>
      <w:r w:rsidR="00F90541">
        <w:t>January 2017</w:t>
      </w:r>
      <w:r w:rsidR="00DB76F2">
        <w:t xml:space="preserve"> </w:t>
      </w:r>
      <w:r>
        <w:t xml:space="preserve">were in relation to the remission system so that more people would </w:t>
      </w:r>
      <w:r w:rsidR="00DB76F2">
        <w:t>qualify</w:t>
      </w:r>
      <w:r>
        <w:t>.</w:t>
      </w:r>
    </w:p>
    <w:p w:rsidR="00584218" w:rsidRDefault="00584218" w:rsidP="00EC4C16">
      <w:pPr>
        <w:spacing w:after="240" w:line="240" w:lineRule="auto"/>
        <w:ind w:left="-567"/>
        <w:jc w:val="both"/>
      </w:pPr>
      <w:r>
        <w:t>Since the fees were introduced</w:t>
      </w:r>
      <w:r w:rsidR="0052787C">
        <w:t>,</w:t>
      </w:r>
      <w:r>
        <w:t xml:space="preserve"> there </w:t>
      </w:r>
      <w:r w:rsidR="0052787C">
        <w:t>h</w:t>
      </w:r>
      <w:r>
        <w:t xml:space="preserve">as </w:t>
      </w:r>
      <w:r w:rsidR="0052787C">
        <w:t xml:space="preserve">been </w:t>
      </w:r>
      <w:r>
        <w:t>a substantial reduction in the number of claims brought before Tribunals.</w:t>
      </w:r>
    </w:p>
    <w:p w:rsidR="00BC0C26" w:rsidRDefault="00BC0C26" w:rsidP="00EC4C16">
      <w:pPr>
        <w:spacing w:after="240" w:line="240" w:lineRule="auto"/>
        <w:ind w:left="-567"/>
        <w:jc w:val="both"/>
      </w:pPr>
      <w:r>
        <w:t xml:space="preserve">In </w:t>
      </w:r>
      <w:r w:rsidR="00F90541">
        <w:t>2013 and 2014</w:t>
      </w:r>
      <w:r>
        <w:t xml:space="preserve"> the trade union Unison brought</w:t>
      </w:r>
      <w:r w:rsidR="00F90541">
        <w:t xml:space="preserve"> </w:t>
      </w:r>
      <w:r w:rsidR="0052787C">
        <w:t>two</w:t>
      </w:r>
      <w:r>
        <w:t xml:space="preserve"> judicial review proceedings against the </w:t>
      </w:r>
      <w:r w:rsidR="00C4563C">
        <w:t>G</w:t>
      </w:r>
      <w:r>
        <w:t xml:space="preserve">overnment </w:t>
      </w:r>
      <w:r w:rsidR="0052787C">
        <w:t>arguing that the making of the F</w:t>
      </w:r>
      <w:r>
        <w:t xml:space="preserve">ees </w:t>
      </w:r>
      <w:r w:rsidR="0052787C">
        <w:t>O</w:t>
      </w:r>
      <w:r>
        <w:t>rder was unlawful as it prevented access to justice both under UK law and EU law.  It also meant that individuals were also unable to enforce their employment rights which had been granted to them by Parliament and in particular, discrimination rights.  They relied on the substantial reduction of tribunal claims in support of their arguments.</w:t>
      </w:r>
    </w:p>
    <w:p w:rsidR="00BC0C26" w:rsidRDefault="00BC0C26" w:rsidP="00EC4C16">
      <w:pPr>
        <w:spacing w:after="240" w:line="240" w:lineRule="auto"/>
        <w:ind w:left="-567"/>
        <w:jc w:val="both"/>
      </w:pPr>
      <w:r>
        <w:t xml:space="preserve">Unison’s arguments were rejected by both the High Court and the Court of Appeal. By contrast, the Supreme Court accepted all Unison’s arguments and declared the fees to be unlawful. </w:t>
      </w:r>
    </w:p>
    <w:p w:rsidR="006378E2" w:rsidRPr="003E4393" w:rsidRDefault="00BB2B0E" w:rsidP="00EC4C16">
      <w:pPr>
        <w:spacing w:after="240" w:line="240" w:lineRule="auto"/>
        <w:ind w:left="-567"/>
        <w:jc w:val="both"/>
        <w:rPr>
          <w:color w:val="17365D" w:themeColor="text2" w:themeShade="BF"/>
          <w:u w:val="single"/>
        </w:rPr>
      </w:pPr>
      <w:r w:rsidRPr="003E4393">
        <w:rPr>
          <w:color w:val="17365D" w:themeColor="text2" w:themeShade="BF"/>
          <w:u w:val="single"/>
        </w:rPr>
        <w:t>Comment</w:t>
      </w:r>
    </w:p>
    <w:p w:rsidR="006F48CB" w:rsidRDefault="00DB76F2" w:rsidP="00EC4C16">
      <w:pPr>
        <w:spacing w:after="240" w:line="240" w:lineRule="auto"/>
        <w:ind w:left="-567"/>
        <w:jc w:val="both"/>
      </w:pPr>
      <w:r>
        <w:t>Whilst the fees were undoubtedly unfair, t</w:t>
      </w:r>
      <w:r w:rsidR="00584218">
        <w:t xml:space="preserve">he Supreme Court Decision is surprising given that most of the evidence was rejected in two cases before the High Court and subsequently the Court of Appeal.  The latter, </w:t>
      </w:r>
    </w:p>
    <w:p w:rsidR="006F48CB" w:rsidRDefault="006F48CB" w:rsidP="006F48CB">
      <w:pPr>
        <w:spacing w:after="240" w:line="240" w:lineRule="auto"/>
        <w:ind w:left="-567"/>
        <w:jc w:val="right"/>
      </w:pPr>
      <w:r w:rsidRPr="00537B4F">
        <w:rPr>
          <w:b/>
          <w:noProof/>
          <w:color w:val="17365D"/>
          <w:sz w:val="36"/>
          <w:szCs w:val="36"/>
        </w:rPr>
        <w:lastRenderedPageBreak/>
        <w:drawing>
          <wp:inline distT="0" distB="0" distL="0" distR="0" wp14:anchorId="4358D0E4" wp14:editId="41529D6F">
            <wp:extent cx="666750" cy="381000"/>
            <wp:effectExtent l="0" t="0" r="0" b="0"/>
            <wp:docPr id="39" name="Picture 39" descr="GSC_CMYK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SC_CMYK_72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381000"/>
                    </a:xfrm>
                    <a:prstGeom prst="rect">
                      <a:avLst/>
                    </a:prstGeom>
                    <a:noFill/>
                    <a:ln>
                      <a:noFill/>
                    </a:ln>
                  </pic:spPr>
                </pic:pic>
              </a:graphicData>
            </a:graphic>
          </wp:inline>
        </w:drawing>
      </w:r>
    </w:p>
    <w:p w:rsidR="00584218" w:rsidRDefault="00584218" w:rsidP="00EC4C16">
      <w:pPr>
        <w:spacing w:after="240" w:line="240" w:lineRule="auto"/>
        <w:ind w:left="-567"/>
        <w:jc w:val="both"/>
      </w:pPr>
      <w:proofErr w:type="gramStart"/>
      <w:r>
        <w:t>whilst</w:t>
      </w:r>
      <w:proofErr w:type="gramEnd"/>
      <w:r>
        <w:t xml:space="preserve"> sympathetic to Unison’s arguments, did not consider the evidence provided to be a safe basis for concluding that the fees order was unlawful.  </w:t>
      </w:r>
    </w:p>
    <w:p w:rsidR="00584218" w:rsidRDefault="00584218" w:rsidP="00EC4C16">
      <w:pPr>
        <w:spacing w:after="240" w:line="240" w:lineRule="auto"/>
        <w:ind w:left="-567"/>
        <w:jc w:val="both"/>
      </w:pPr>
      <w:r>
        <w:t>There is, of course</w:t>
      </w:r>
      <w:r w:rsidR="00F90541">
        <w:t>,</w:t>
      </w:r>
      <w:r>
        <w:t xml:space="preserve"> nothing to stop </w:t>
      </w:r>
      <w:r w:rsidR="00F90541">
        <w:t xml:space="preserve">the </w:t>
      </w:r>
      <w:r w:rsidR="00C4563C">
        <w:t>G</w:t>
      </w:r>
      <w:r w:rsidR="00F90541">
        <w:t>overnment bringing in new t</w:t>
      </w:r>
      <w:r>
        <w:t xml:space="preserve">ribunal fees at reasonable levels but this would have to be debated in Parliament and it seems unlikely that there would be any political will to </w:t>
      </w:r>
      <w:r w:rsidR="00F90541">
        <w:t>do so</w:t>
      </w:r>
      <w:r w:rsidR="0052787C">
        <w:t xml:space="preserve"> at present</w:t>
      </w:r>
      <w:r>
        <w:t xml:space="preserve">.  The fact that the </w:t>
      </w:r>
      <w:r w:rsidR="00C4563C">
        <w:t>G</w:t>
      </w:r>
      <w:r>
        <w:t xml:space="preserve">overnment has </w:t>
      </w:r>
      <w:r w:rsidR="00F90541">
        <w:t>ordered tribunals to stop</w:t>
      </w:r>
      <w:r>
        <w:t xml:space="preserve"> charging fees and agreed to issue refunds confirms this.</w:t>
      </w:r>
    </w:p>
    <w:p w:rsidR="00584218" w:rsidRDefault="00584218" w:rsidP="00EC4C16">
      <w:pPr>
        <w:spacing w:after="240" w:line="240" w:lineRule="auto"/>
        <w:ind w:left="-567"/>
        <w:jc w:val="both"/>
      </w:pPr>
      <w:r>
        <w:t>The introduction of fees is not</w:t>
      </w:r>
      <w:r w:rsidR="00BC0C26">
        <w:t>, however,</w:t>
      </w:r>
      <w:r>
        <w:t xml:space="preserve"> the sole reason </w:t>
      </w:r>
      <w:r w:rsidR="00F90541">
        <w:t>f</w:t>
      </w:r>
      <w:r>
        <w:t xml:space="preserve">or the decline in </w:t>
      </w:r>
      <w:r w:rsidR="00F90541">
        <w:t>t</w:t>
      </w:r>
      <w:r>
        <w:t>ribunal cases.  Other changes introduced in 2013 have also had an impact.  These include increasing the qualifying period for unfair dismissal claims from one year to two years, g</w:t>
      </w:r>
      <w:r w:rsidR="00BC0C26">
        <w:t>ivi</w:t>
      </w:r>
      <w:r>
        <w:t>n</w:t>
      </w:r>
      <w:r w:rsidR="00BC0C26">
        <w:t>g</w:t>
      </w:r>
      <w:r w:rsidR="00F90541">
        <w:t xml:space="preserve"> the t</w:t>
      </w:r>
      <w:r>
        <w:t>ribunal increased powers to strike out hopeless claims at an early stage and requir</w:t>
      </w:r>
      <w:r w:rsidR="00BC0C26">
        <w:t>ing</w:t>
      </w:r>
      <w:r>
        <w:t xml:space="preserve"> payment of a deposit of up to £1,000 to allow a weak claim to proceed together with a costs warning.</w:t>
      </w:r>
    </w:p>
    <w:p w:rsidR="00584218" w:rsidRDefault="00584218" w:rsidP="00EC4C16">
      <w:pPr>
        <w:spacing w:after="240" w:line="240" w:lineRule="auto"/>
        <w:ind w:left="-567"/>
        <w:jc w:val="both"/>
      </w:pPr>
      <w:r>
        <w:t xml:space="preserve">If </w:t>
      </w:r>
      <w:r w:rsidR="00250068">
        <w:t>f</w:t>
      </w:r>
      <w:r w:rsidR="00F90541">
        <w:t>ees are no longer required for t</w:t>
      </w:r>
      <w:r w:rsidR="00250068">
        <w:t xml:space="preserve">ribunal cases, then there will almost certainly be an increase in claims, but perhaps with </w:t>
      </w:r>
      <w:r>
        <w:t>the current safeguards in procedures, the system will be more balanced between employers and employees.</w:t>
      </w:r>
    </w:p>
    <w:p w:rsidR="006F48CB" w:rsidRDefault="006F48CB" w:rsidP="006F48CB">
      <w:pPr>
        <w:spacing w:after="240" w:line="240" w:lineRule="auto"/>
        <w:ind w:left="-567" w:right="-471"/>
        <w:jc w:val="both"/>
        <w:outlineLvl w:val="0"/>
        <w:rPr>
          <w:b/>
          <w:color w:val="17365D" w:themeColor="text2" w:themeShade="BF"/>
          <w:sz w:val="26"/>
          <w:szCs w:val="26"/>
        </w:rPr>
      </w:pPr>
    </w:p>
    <w:p w:rsidR="003E4393" w:rsidRPr="00BC0C26" w:rsidRDefault="006117AB" w:rsidP="006F48CB">
      <w:pPr>
        <w:spacing w:after="240" w:line="240" w:lineRule="auto"/>
        <w:ind w:left="-567" w:right="-471"/>
        <w:jc w:val="both"/>
        <w:outlineLvl w:val="0"/>
        <w:rPr>
          <w:b/>
          <w:color w:val="17365D" w:themeColor="text2" w:themeShade="BF"/>
          <w:sz w:val="26"/>
          <w:szCs w:val="26"/>
        </w:rPr>
      </w:pPr>
      <w:r w:rsidRPr="00BC0C26">
        <w:rPr>
          <w:b/>
          <w:color w:val="17365D" w:themeColor="text2" w:themeShade="BF"/>
          <w:sz w:val="26"/>
          <w:szCs w:val="26"/>
        </w:rPr>
        <w:t>Good Work</w:t>
      </w:r>
      <w:r w:rsidR="00250068" w:rsidRPr="00BC0C26">
        <w:rPr>
          <w:b/>
          <w:color w:val="17365D" w:themeColor="text2" w:themeShade="BF"/>
          <w:sz w:val="26"/>
          <w:szCs w:val="26"/>
        </w:rPr>
        <w:t xml:space="preserve">: the Taylor </w:t>
      </w:r>
      <w:r w:rsidR="00F90541">
        <w:rPr>
          <w:b/>
          <w:color w:val="17365D" w:themeColor="text2" w:themeShade="BF"/>
          <w:sz w:val="26"/>
          <w:szCs w:val="26"/>
        </w:rPr>
        <w:t>Review</w:t>
      </w:r>
      <w:r w:rsidR="00250068" w:rsidRPr="00BC0C26">
        <w:rPr>
          <w:b/>
          <w:color w:val="17365D" w:themeColor="text2" w:themeShade="BF"/>
          <w:sz w:val="26"/>
          <w:szCs w:val="26"/>
        </w:rPr>
        <w:t xml:space="preserve"> of Modern Working Practices</w:t>
      </w:r>
    </w:p>
    <w:p w:rsidR="00250068" w:rsidRPr="00EC4C16" w:rsidRDefault="00250068" w:rsidP="006F48CB">
      <w:pPr>
        <w:spacing w:after="240" w:line="240" w:lineRule="auto"/>
        <w:ind w:left="-567" w:right="-471"/>
        <w:jc w:val="both"/>
        <w:outlineLvl w:val="0"/>
        <w:rPr>
          <w:b/>
          <w:color w:val="17365D" w:themeColor="text2" w:themeShade="BF"/>
          <w:sz w:val="24"/>
          <w:szCs w:val="24"/>
          <w:u w:val="single"/>
        </w:rPr>
      </w:pPr>
      <w:r w:rsidRPr="00EC4C16">
        <w:rPr>
          <w:b/>
          <w:color w:val="17365D" w:themeColor="text2" w:themeShade="BF"/>
          <w:sz w:val="24"/>
          <w:szCs w:val="24"/>
          <w:u w:val="single"/>
        </w:rPr>
        <w:t>New Dependent Contractor Status</w:t>
      </w:r>
    </w:p>
    <w:p w:rsidR="00250068" w:rsidRPr="00DF4895" w:rsidRDefault="00250068" w:rsidP="006F48CB">
      <w:pPr>
        <w:spacing w:after="240" w:line="240" w:lineRule="auto"/>
        <w:ind w:left="-567" w:right="43"/>
        <w:jc w:val="both"/>
        <w:outlineLvl w:val="0"/>
        <w:rPr>
          <w:i/>
        </w:rPr>
      </w:pPr>
      <w:r w:rsidRPr="00DF4895">
        <w:rPr>
          <w:i/>
        </w:rPr>
        <w:t xml:space="preserve">The </w:t>
      </w:r>
      <w:r w:rsidR="00F90541" w:rsidRPr="00DF4895">
        <w:rPr>
          <w:i/>
        </w:rPr>
        <w:t>R</w:t>
      </w:r>
      <w:r w:rsidRPr="00DF4895">
        <w:rPr>
          <w:i/>
        </w:rPr>
        <w:t>eview of</w:t>
      </w:r>
      <w:r w:rsidR="00F90541" w:rsidRPr="00DF4895">
        <w:rPr>
          <w:i/>
        </w:rPr>
        <w:t xml:space="preserve"> Modern W</w:t>
      </w:r>
      <w:r w:rsidRPr="00DF4895">
        <w:rPr>
          <w:i/>
        </w:rPr>
        <w:t xml:space="preserve">orking </w:t>
      </w:r>
      <w:r w:rsidR="00F90541" w:rsidRPr="00DF4895">
        <w:rPr>
          <w:i/>
        </w:rPr>
        <w:t>P</w:t>
      </w:r>
      <w:r w:rsidRPr="00DF4895">
        <w:rPr>
          <w:i/>
        </w:rPr>
        <w:t>ra</w:t>
      </w:r>
      <w:r w:rsidR="00C4563C" w:rsidRPr="00DF4895">
        <w:rPr>
          <w:i/>
        </w:rPr>
        <w:t xml:space="preserve">ctices </w:t>
      </w:r>
      <w:r w:rsidR="0052787C" w:rsidRPr="00DF4895">
        <w:rPr>
          <w:i/>
        </w:rPr>
        <w:t xml:space="preserve">by Mathew Taylor </w:t>
      </w:r>
      <w:r w:rsidR="00C4563C" w:rsidRPr="00DF4895">
        <w:rPr>
          <w:i/>
        </w:rPr>
        <w:t>was commissioned by the G</w:t>
      </w:r>
      <w:r w:rsidRPr="00DF4895">
        <w:rPr>
          <w:i/>
        </w:rPr>
        <w:t xml:space="preserve">overnment </w:t>
      </w:r>
      <w:r w:rsidR="00635575" w:rsidRPr="00DF4895">
        <w:rPr>
          <w:i/>
        </w:rPr>
        <w:t xml:space="preserve">in November 2016 </w:t>
      </w:r>
      <w:r w:rsidRPr="00DF4895">
        <w:rPr>
          <w:i/>
        </w:rPr>
        <w:t xml:space="preserve">following various challenges to self-employment status by gig economy workers together with concerns about zero hours contracts and </w:t>
      </w:r>
      <w:r w:rsidR="00635575" w:rsidRPr="00DF4895">
        <w:rPr>
          <w:i/>
        </w:rPr>
        <w:t>new models of working</w:t>
      </w:r>
      <w:r w:rsidRPr="00DF4895">
        <w:rPr>
          <w:i/>
        </w:rPr>
        <w:t xml:space="preserve">.  The report was published in July 2017 and recommends improvements to existing law </w:t>
      </w:r>
      <w:r w:rsidR="0052787C" w:rsidRPr="00DF4895">
        <w:rPr>
          <w:i/>
        </w:rPr>
        <w:t xml:space="preserve">to provide greater clarity on rights and status, </w:t>
      </w:r>
      <w:r w:rsidRPr="00DF4895">
        <w:rPr>
          <w:i/>
        </w:rPr>
        <w:t>rather than fundamental changes.  T</w:t>
      </w:r>
      <w:r w:rsidR="00C4563C" w:rsidRPr="00DF4895">
        <w:rPr>
          <w:i/>
        </w:rPr>
        <w:t>he review is due to inform the G</w:t>
      </w:r>
      <w:r w:rsidRPr="00DF4895">
        <w:rPr>
          <w:i/>
        </w:rPr>
        <w:t>overnment’s industrial strategy.</w:t>
      </w:r>
    </w:p>
    <w:p w:rsidR="00250068" w:rsidRDefault="00250068" w:rsidP="006F48CB">
      <w:pPr>
        <w:spacing w:after="240" w:line="240" w:lineRule="auto"/>
        <w:ind w:left="-567" w:right="43"/>
        <w:jc w:val="both"/>
        <w:outlineLvl w:val="0"/>
      </w:pPr>
      <w:r>
        <w:t>The main recommendations are as follows:</w:t>
      </w:r>
    </w:p>
    <w:p w:rsidR="00250068" w:rsidRDefault="00250068" w:rsidP="006F48CB">
      <w:pPr>
        <w:pStyle w:val="ListParagraph"/>
        <w:numPr>
          <w:ilvl w:val="0"/>
          <w:numId w:val="7"/>
        </w:numPr>
        <w:spacing w:after="240" w:line="240" w:lineRule="auto"/>
        <w:ind w:left="284" w:right="43" w:hanging="851"/>
        <w:jc w:val="both"/>
        <w:outlineLvl w:val="0"/>
      </w:pPr>
      <w:r>
        <w:t xml:space="preserve">Retain the three </w:t>
      </w:r>
      <w:r w:rsidR="00685711">
        <w:t xml:space="preserve">employment </w:t>
      </w:r>
      <w:r>
        <w:t>categories of employee</w:t>
      </w:r>
      <w:r w:rsidR="00685711">
        <w:t>s, workers</w:t>
      </w:r>
      <w:r>
        <w:t xml:space="preserve"> and self-employed but rename workers as </w:t>
      </w:r>
      <w:r w:rsidR="00635575">
        <w:t>‘</w:t>
      </w:r>
      <w:r>
        <w:t>dependent contractors</w:t>
      </w:r>
      <w:r w:rsidR="00635575">
        <w:t>’</w:t>
      </w:r>
      <w:r>
        <w:t>.</w:t>
      </w:r>
    </w:p>
    <w:p w:rsidR="00250068" w:rsidRDefault="00250068" w:rsidP="006F48CB">
      <w:pPr>
        <w:pStyle w:val="ListParagraph"/>
        <w:spacing w:after="240" w:line="240" w:lineRule="auto"/>
        <w:ind w:left="284" w:right="43"/>
        <w:jc w:val="both"/>
        <w:outlineLvl w:val="0"/>
      </w:pPr>
    </w:p>
    <w:p w:rsidR="00250068" w:rsidRDefault="0052787C" w:rsidP="006F48CB">
      <w:pPr>
        <w:pStyle w:val="ListParagraph"/>
        <w:numPr>
          <w:ilvl w:val="0"/>
          <w:numId w:val="7"/>
        </w:numPr>
        <w:spacing w:after="240" w:line="240" w:lineRule="auto"/>
        <w:ind w:left="284" w:right="43" w:hanging="851"/>
        <w:jc w:val="both"/>
        <w:outlineLvl w:val="0"/>
      </w:pPr>
      <w:r>
        <w:rPr>
          <w:noProof/>
        </w:rPr>
        <w:drawing>
          <wp:anchor distT="0" distB="0" distL="114300" distR="114300" simplePos="0" relativeHeight="251677696" behindDoc="1" locked="0" layoutInCell="1" allowOverlap="1" wp14:anchorId="27A44652" wp14:editId="642A82B7">
            <wp:simplePos x="0" y="0"/>
            <wp:positionH relativeFrom="column">
              <wp:posOffset>5000625</wp:posOffset>
            </wp:positionH>
            <wp:positionV relativeFrom="paragraph">
              <wp:posOffset>322580</wp:posOffset>
            </wp:positionV>
            <wp:extent cx="1219200" cy="1047750"/>
            <wp:effectExtent l="0" t="0" r="0" b="0"/>
            <wp:wrapTight wrapText="bothSides">
              <wp:wrapPolygon edited="0">
                <wp:start x="0" y="0"/>
                <wp:lineTo x="0" y="21207"/>
                <wp:lineTo x="21263" y="21207"/>
                <wp:lineTo x="21263" y="0"/>
                <wp:lineTo x="0" y="0"/>
              </wp:wrapPolygon>
            </wp:wrapTight>
            <wp:docPr id="40" name="Picture 40" descr="C:\Users\karen.jones\AppData\Local\Microsoft\Windows\Temporary Internet Files\Content.IE5\F33CZWS2\out-s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ren.jones\AppData\Local\Microsoft\Windows\Temporary Internet Files\Content.IE5\F33CZWS2\out-sick[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t>Simplify</w:t>
      </w:r>
      <w:r w:rsidR="00250068">
        <w:t xml:space="preserve"> the test for self-employed/</w:t>
      </w:r>
      <w:r w:rsidR="00635575">
        <w:t>depend</w:t>
      </w:r>
      <w:r w:rsidR="00C4563C">
        <w:t>e</w:t>
      </w:r>
      <w:r w:rsidR="00635575">
        <w:t xml:space="preserve">nt </w:t>
      </w:r>
      <w:r w:rsidR="00250068">
        <w:t xml:space="preserve">contractor status with more emphasis on control rather than what is stated in </w:t>
      </w:r>
      <w:r>
        <w:t>the</w:t>
      </w:r>
      <w:r w:rsidR="00250068">
        <w:t xml:space="preserve"> contract. </w:t>
      </w:r>
    </w:p>
    <w:p w:rsidR="00250068" w:rsidRDefault="0052787C" w:rsidP="006F48CB">
      <w:pPr>
        <w:pStyle w:val="ListParagraph"/>
        <w:spacing w:after="240" w:line="240" w:lineRule="auto"/>
      </w:pPr>
      <w:r>
        <w:rPr>
          <w:noProof/>
        </w:rPr>
        <w:drawing>
          <wp:anchor distT="0" distB="0" distL="114300" distR="114300" simplePos="0" relativeHeight="251678720" behindDoc="1" locked="0" layoutInCell="1" allowOverlap="1" wp14:anchorId="6C9B6E8F" wp14:editId="21ED4CB3">
            <wp:simplePos x="0" y="0"/>
            <wp:positionH relativeFrom="column">
              <wp:posOffset>3914775</wp:posOffset>
            </wp:positionH>
            <wp:positionV relativeFrom="paragraph">
              <wp:posOffset>40640</wp:posOffset>
            </wp:positionV>
            <wp:extent cx="885825" cy="819150"/>
            <wp:effectExtent l="171450" t="171450" r="371475" b="361950"/>
            <wp:wrapTight wrapText="bothSides">
              <wp:wrapPolygon edited="0">
                <wp:start x="3716" y="-4521"/>
                <wp:lineTo x="-4181" y="-3516"/>
                <wp:lineTo x="-4181" y="23609"/>
                <wp:lineTo x="0" y="28633"/>
                <wp:lineTo x="3716" y="30642"/>
                <wp:lineTo x="22297" y="30642"/>
                <wp:lineTo x="26477" y="28633"/>
                <wp:lineTo x="30194" y="21098"/>
                <wp:lineTo x="30194" y="3014"/>
                <wp:lineTo x="23690" y="-3516"/>
                <wp:lineTo x="22297" y="-4521"/>
                <wp:lineTo x="3716" y="-4521"/>
              </wp:wrapPolygon>
            </wp:wrapTight>
            <wp:docPr id="41" name="Picture 41" descr="C:\Users\karen.jones\AppData\Local\Microsoft\Windows\Temporary Internet Files\Content.IE5\YZM43BA8\photo-holiday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ren.jones\AppData\Local\Microsoft\Windows\Temporary Internet Files\Content.IE5\YZM43BA8\photo-holidays[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825" cy="819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2787C" w:rsidRDefault="00C4563C" w:rsidP="006F48CB">
      <w:pPr>
        <w:pStyle w:val="ListParagraph"/>
        <w:numPr>
          <w:ilvl w:val="0"/>
          <w:numId w:val="7"/>
        </w:numPr>
        <w:spacing w:after="0" w:line="240" w:lineRule="auto"/>
        <w:ind w:left="284" w:right="43" w:hanging="851"/>
        <w:jc w:val="both"/>
        <w:outlineLvl w:val="0"/>
        <w:rPr>
          <w:noProof/>
        </w:rPr>
      </w:pPr>
      <w:r>
        <w:t>Depende</w:t>
      </w:r>
      <w:r w:rsidR="00250068">
        <w:t>nt contractors should be entitled to holiday pay</w:t>
      </w:r>
      <w:r w:rsidR="00635575">
        <w:t xml:space="preserve"> and statutory sick pay (</w:t>
      </w:r>
      <w:r w:rsidR="00250068">
        <w:t>SSP</w:t>
      </w:r>
      <w:r w:rsidR="00635575">
        <w:t>)</w:t>
      </w:r>
      <w:r w:rsidR="00250068">
        <w:t xml:space="preserve"> (subject to specified length of service).</w:t>
      </w:r>
      <w:r w:rsidR="001E6C23" w:rsidRPr="001E6C23">
        <w:rPr>
          <w:noProof/>
        </w:rPr>
        <w:t xml:space="preserve"> </w:t>
      </w:r>
      <w:r w:rsidR="0052787C">
        <w:rPr>
          <w:noProof/>
        </w:rPr>
        <w:t xml:space="preserve">  There should be stronger incentives for companies to treat them more fairly including a written statement of terms on day one of their job.</w:t>
      </w:r>
    </w:p>
    <w:p w:rsidR="0052787C" w:rsidRDefault="0052787C" w:rsidP="0052787C">
      <w:pPr>
        <w:pStyle w:val="ListParagraph"/>
        <w:rPr>
          <w:noProof/>
        </w:rPr>
      </w:pPr>
    </w:p>
    <w:p w:rsidR="0052787C" w:rsidRDefault="0052787C" w:rsidP="0052787C">
      <w:pPr>
        <w:pStyle w:val="ListParagraph"/>
        <w:numPr>
          <w:ilvl w:val="0"/>
          <w:numId w:val="7"/>
        </w:numPr>
        <w:spacing w:after="240" w:line="240" w:lineRule="auto"/>
        <w:ind w:left="284" w:right="43" w:hanging="851"/>
        <w:jc w:val="both"/>
        <w:outlineLvl w:val="0"/>
      </w:pPr>
      <w:r>
        <w:t xml:space="preserve">Higher rates of the national minimum/living wage (NMW) should be paid to workers who are employed on zero hours contracts.  This means employers would retain flexibility but would have to pay more for this right.  </w:t>
      </w:r>
    </w:p>
    <w:p w:rsidR="0052787C" w:rsidRDefault="0052787C" w:rsidP="0052787C">
      <w:pPr>
        <w:pStyle w:val="ListParagraph"/>
        <w:spacing w:after="0" w:line="240" w:lineRule="auto"/>
        <w:ind w:left="284" w:right="43"/>
        <w:jc w:val="both"/>
        <w:outlineLvl w:val="0"/>
        <w:rPr>
          <w:noProof/>
        </w:rPr>
      </w:pPr>
    </w:p>
    <w:p w:rsidR="0052787C" w:rsidRDefault="0052787C" w:rsidP="0052787C">
      <w:pPr>
        <w:pStyle w:val="ListParagraph"/>
        <w:rPr>
          <w:noProof/>
        </w:rPr>
      </w:pPr>
    </w:p>
    <w:p w:rsidR="006F48CB" w:rsidRDefault="006F48CB" w:rsidP="0052787C">
      <w:pPr>
        <w:spacing w:after="0" w:line="240" w:lineRule="auto"/>
        <w:ind w:left="-207" w:right="43"/>
        <w:jc w:val="both"/>
        <w:outlineLvl w:val="0"/>
        <w:rPr>
          <w:noProof/>
        </w:rPr>
      </w:pPr>
      <w:r>
        <w:rPr>
          <w:noProof/>
        </w:rPr>
        <w:br w:type="page"/>
      </w:r>
    </w:p>
    <w:p w:rsidR="00021A2F" w:rsidRDefault="00021A2F" w:rsidP="00021A2F">
      <w:pPr>
        <w:pStyle w:val="ListParagraph"/>
        <w:spacing w:after="240" w:line="240" w:lineRule="auto"/>
        <w:ind w:left="284" w:right="43"/>
        <w:jc w:val="right"/>
        <w:outlineLvl w:val="0"/>
      </w:pPr>
      <w:r w:rsidRPr="00537B4F">
        <w:rPr>
          <w:b/>
          <w:noProof/>
          <w:color w:val="17365D"/>
          <w:sz w:val="36"/>
          <w:szCs w:val="36"/>
        </w:rPr>
        <w:lastRenderedPageBreak/>
        <w:drawing>
          <wp:inline distT="0" distB="0" distL="0" distR="0" wp14:anchorId="7A690409" wp14:editId="29CCCF7F">
            <wp:extent cx="666750" cy="381000"/>
            <wp:effectExtent l="0" t="0" r="0" b="0"/>
            <wp:docPr id="42" name="Picture 42" descr="GSC_CMYK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SC_CMYK_72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381000"/>
                    </a:xfrm>
                    <a:prstGeom prst="rect">
                      <a:avLst/>
                    </a:prstGeom>
                    <a:noFill/>
                    <a:ln>
                      <a:noFill/>
                    </a:ln>
                  </pic:spPr>
                </pic:pic>
              </a:graphicData>
            </a:graphic>
          </wp:inline>
        </w:drawing>
      </w:r>
    </w:p>
    <w:p w:rsidR="00A66FAD" w:rsidRDefault="00A66FAD" w:rsidP="0052787C">
      <w:pPr>
        <w:pStyle w:val="ListParagraph"/>
        <w:spacing w:after="240" w:line="240" w:lineRule="auto"/>
        <w:ind w:left="284" w:right="43"/>
        <w:jc w:val="both"/>
        <w:outlineLvl w:val="0"/>
      </w:pPr>
    </w:p>
    <w:p w:rsidR="00A66FAD" w:rsidRDefault="00A66FAD" w:rsidP="0052787C">
      <w:pPr>
        <w:pStyle w:val="ListParagraph"/>
        <w:spacing w:after="240" w:line="240" w:lineRule="auto"/>
        <w:ind w:left="284" w:right="43"/>
        <w:jc w:val="both"/>
        <w:outlineLvl w:val="0"/>
      </w:pPr>
    </w:p>
    <w:p w:rsidR="00021A2F" w:rsidRDefault="00A66FAD" w:rsidP="0052787C">
      <w:pPr>
        <w:pStyle w:val="ListParagraph"/>
        <w:spacing w:after="240" w:line="240" w:lineRule="auto"/>
        <w:ind w:left="284" w:right="43"/>
        <w:jc w:val="both"/>
        <w:outlineLvl w:val="0"/>
      </w:pPr>
      <w:r>
        <w:rPr>
          <w:noProof/>
        </w:rPr>
        <w:drawing>
          <wp:anchor distT="0" distB="0" distL="114300" distR="114300" simplePos="0" relativeHeight="251675648" behindDoc="1" locked="0" layoutInCell="1" allowOverlap="1" wp14:anchorId="4284B626" wp14:editId="784CA55F">
            <wp:simplePos x="0" y="0"/>
            <wp:positionH relativeFrom="column">
              <wp:posOffset>4038600</wp:posOffset>
            </wp:positionH>
            <wp:positionV relativeFrom="paragraph">
              <wp:posOffset>155575</wp:posOffset>
            </wp:positionV>
            <wp:extent cx="1905000" cy="1057275"/>
            <wp:effectExtent l="0" t="0" r="0" b="9525"/>
            <wp:wrapTight wrapText="bothSides">
              <wp:wrapPolygon edited="0">
                <wp:start x="0" y="0"/>
                <wp:lineTo x="0" y="21405"/>
                <wp:lineTo x="21384" y="21405"/>
                <wp:lineTo x="21384" y="0"/>
                <wp:lineTo x="0" y="0"/>
              </wp:wrapPolygon>
            </wp:wrapTight>
            <wp:docPr id="35" name="Picture 35" descr="C:\Users\karen.jones\AppData\Local\Microsoft\Windows\Temporary Internet Files\Content.IE5\WDC5QP0F\Calendar-Planning-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ren.jones\AppData\Local\Microsoft\Windows\Temporary Internet Files\Content.IE5\WDC5QP0F\Calendar-Planning-photo[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068" w:rsidRDefault="00250068" w:rsidP="006F48CB">
      <w:pPr>
        <w:pStyle w:val="ListParagraph"/>
        <w:numPr>
          <w:ilvl w:val="0"/>
          <w:numId w:val="7"/>
        </w:numPr>
        <w:spacing w:after="240" w:line="240" w:lineRule="auto"/>
        <w:ind w:left="284" w:right="43" w:hanging="851"/>
        <w:jc w:val="both"/>
        <w:outlineLvl w:val="0"/>
      </w:pPr>
      <w:r>
        <w:t xml:space="preserve">Agency workers should have the right to request </w:t>
      </w:r>
      <w:r w:rsidR="00635575">
        <w:t>a</w:t>
      </w:r>
      <w:r>
        <w:t xml:space="preserve"> direct contract of employment after 12 months with the same hirer which the hirer would be obliged to consider reasonably.  Similarly zero hours workers should be entitled to request a contract that guarantees hours which better reflect the actual hours worked after 12 months.</w:t>
      </w:r>
    </w:p>
    <w:p w:rsidR="00250068" w:rsidRDefault="00250068" w:rsidP="006F48CB">
      <w:pPr>
        <w:pStyle w:val="ListParagraph"/>
        <w:spacing w:after="240" w:line="240" w:lineRule="auto"/>
      </w:pPr>
    </w:p>
    <w:p w:rsidR="00250068" w:rsidRDefault="00250068" w:rsidP="006F48CB">
      <w:pPr>
        <w:pStyle w:val="ListParagraph"/>
        <w:numPr>
          <w:ilvl w:val="0"/>
          <w:numId w:val="7"/>
        </w:numPr>
        <w:spacing w:after="240" w:line="240" w:lineRule="auto"/>
        <w:ind w:left="284" w:right="43" w:hanging="851"/>
        <w:jc w:val="both"/>
        <w:outlineLvl w:val="0"/>
      </w:pPr>
      <w:r>
        <w:t>In order to improve access to holiday pay for seasonal, casual and zero hours workers, the pay reference period should be increased from 12 to 52 weeks.</w:t>
      </w:r>
    </w:p>
    <w:p w:rsidR="00250068" w:rsidRDefault="00250068" w:rsidP="006F48CB">
      <w:pPr>
        <w:pStyle w:val="ListParagraph"/>
        <w:spacing w:after="240" w:line="240" w:lineRule="auto"/>
      </w:pPr>
    </w:p>
    <w:p w:rsidR="00250068" w:rsidRDefault="00250068" w:rsidP="006F48CB">
      <w:pPr>
        <w:pStyle w:val="ListParagraph"/>
        <w:numPr>
          <w:ilvl w:val="0"/>
          <w:numId w:val="7"/>
        </w:numPr>
        <w:spacing w:after="240" w:line="240" w:lineRule="auto"/>
        <w:ind w:left="284" w:right="43" w:hanging="851"/>
        <w:jc w:val="both"/>
        <w:outlineLvl w:val="0"/>
      </w:pPr>
      <w:r>
        <w:t>With regard to enforcement of employment rights, the review recommends that HMRC which currently has responsibility for enforcing the right to NMW and SSP should also enforce the right to holiday pay for low paid workers.</w:t>
      </w:r>
    </w:p>
    <w:p w:rsidR="00250068" w:rsidRDefault="00250068" w:rsidP="006F48CB">
      <w:pPr>
        <w:pStyle w:val="ListParagraph"/>
        <w:spacing w:after="240" w:line="240" w:lineRule="auto"/>
      </w:pPr>
    </w:p>
    <w:p w:rsidR="00250068" w:rsidRDefault="00250068" w:rsidP="006F48CB">
      <w:pPr>
        <w:pStyle w:val="ListParagraph"/>
        <w:numPr>
          <w:ilvl w:val="0"/>
          <w:numId w:val="7"/>
        </w:numPr>
        <w:spacing w:after="240" w:line="240" w:lineRule="auto"/>
        <w:ind w:left="284" w:right="43" w:hanging="851"/>
        <w:jc w:val="both"/>
        <w:outlineLvl w:val="0"/>
      </w:pPr>
      <w:r>
        <w:t>The review recommended a waiver of fees so that individuals can apply to Tribunals to have their employment status determined by a Tribunal without having to pay a fee.  However</w:t>
      </w:r>
      <w:r w:rsidR="00685711">
        <w:t>, in view of the Supreme Court d</w:t>
      </w:r>
      <w:r>
        <w:t>ec</w:t>
      </w:r>
      <w:r w:rsidR="0052787C">
        <w:t>ision this point is now obsolete</w:t>
      </w:r>
      <w:r>
        <w:t>.</w:t>
      </w:r>
    </w:p>
    <w:p w:rsidR="00250068" w:rsidRDefault="00250068" w:rsidP="006F48CB">
      <w:pPr>
        <w:pStyle w:val="ListParagraph"/>
        <w:spacing w:after="240" w:line="240" w:lineRule="auto"/>
      </w:pPr>
    </w:p>
    <w:p w:rsidR="00250068" w:rsidRDefault="00A66FAD" w:rsidP="006F48CB">
      <w:pPr>
        <w:pStyle w:val="ListParagraph"/>
        <w:numPr>
          <w:ilvl w:val="0"/>
          <w:numId w:val="7"/>
        </w:numPr>
        <w:spacing w:after="240" w:line="240" w:lineRule="auto"/>
        <w:ind w:left="284" w:right="43" w:hanging="851"/>
        <w:jc w:val="both"/>
        <w:outlineLvl w:val="0"/>
      </w:pPr>
      <w:r>
        <w:rPr>
          <w:noProof/>
        </w:rPr>
        <w:drawing>
          <wp:anchor distT="0" distB="0" distL="114300" distR="114300" simplePos="0" relativeHeight="251676672" behindDoc="1" locked="0" layoutInCell="1" allowOverlap="1" wp14:anchorId="55D265CC" wp14:editId="0398195B">
            <wp:simplePos x="0" y="0"/>
            <wp:positionH relativeFrom="column">
              <wp:posOffset>-476250</wp:posOffset>
            </wp:positionH>
            <wp:positionV relativeFrom="paragraph">
              <wp:posOffset>523875</wp:posOffset>
            </wp:positionV>
            <wp:extent cx="1219200" cy="1038225"/>
            <wp:effectExtent l="0" t="0" r="0" b="9525"/>
            <wp:wrapTight wrapText="bothSides">
              <wp:wrapPolygon edited="0">
                <wp:start x="0" y="0"/>
                <wp:lineTo x="0" y="21402"/>
                <wp:lineTo x="21263" y="21402"/>
                <wp:lineTo x="21263" y="0"/>
                <wp:lineTo x="0" y="0"/>
              </wp:wrapPolygon>
            </wp:wrapTight>
            <wp:docPr id="37" name="Picture 37" descr="C:\Users\karen.jones\AppData\Local\Microsoft\Windows\Temporary Internet Files\Content.IE5\ZNCCF2SO\man-with-megapho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ren.jones\AppData\Local\Microsoft\Windows\Temporary Internet Files\Content.IE5\ZNCCF2SO\man-with-megaphone[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63C">
        <w:t>The review also calls on the G</w:t>
      </w:r>
      <w:r w:rsidR="00250068">
        <w:t xml:space="preserve">overnment to make </w:t>
      </w:r>
      <w:r w:rsidR="00BB2B0E">
        <w:t xml:space="preserve">the process of enforcing Tribunal awards simpler by </w:t>
      </w:r>
      <w:r w:rsidR="00635575">
        <w:t xml:space="preserve">making the Government responsible for enforcement </w:t>
      </w:r>
      <w:r w:rsidR="00BB2B0E">
        <w:t>without requiring the employee worker to fill in extra forms, pay an extra fee or inflated additional Court proceedings.</w:t>
      </w:r>
    </w:p>
    <w:p w:rsidR="00BB2B0E" w:rsidRDefault="00BB2B0E" w:rsidP="006F48CB">
      <w:pPr>
        <w:pStyle w:val="ListParagraph"/>
        <w:spacing w:after="240" w:line="240" w:lineRule="auto"/>
      </w:pPr>
    </w:p>
    <w:p w:rsidR="00BB2B0E" w:rsidRDefault="00BB2B0E" w:rsidP="006F48CB">
      <w:pPr>
        <w:pStyle w:val="ListParagraph"/>
        <w:numPr>
          <w:ilvl w:val="0"/>
          <w:numId w:val="7"/>
        </w:numPr>
        <w:spacing w:after="240" w:line="240" w:lineRule="auto"/>
        <w:ind w:left="284" w:right="43" w:hanging="851"/>
        <w:jc w:val="both"/>
        <w:outlineLvl w:val="0"/>
      </w:pPr>
      <w:r>
        <w:t xml:space="preserve">The </w:t>
      </w:r>
      <w:r w:rsidR="00C4563C">
        <w:t>G</w:t>
      </w:r>
      <w:r>
        <w:t xml:space="preserve">overnment should also establish a </w:t>
      </w:r>
      <w:r w:rsidR="00635575">
        <w:t>‘</w:t>
      </w:r>
      <w:r>
        <w:t>naming and shaming</w:t>
      </w:r>
      <w:r w:rsidR="00635575">
        <w:t>’</w:t>
      </w:r>
      <w:r>
        <w:t xml:space="preserve"> scheme for those employers that do not pay Tribunal awards within a reasonable time.</w:t>
      </w:r>
      <w:r w:rsidR="006F48CB" w:rsidRPr="006F48CB">
        <w:rPr>
          <w:noProof/>
        </w:rPr>
        <w:t xml:space="preserve"> </w:t>
      </w:r>
    </w:p>
    <w:p w:rsidR="00635575" w:rsidRDefault="00635575" w:rsidP="006F48CB">
      <w:pPr>
        <w:pStyle w:val="ListParagraph"/>
        <w:spacing w:after="240" w:line="240" w:lineRule="auto"/>
      </w:pPr>
    </w:p>
    <w:p w:rsidR="00D65D91" w:rsidRDefault="00D65D91" w:rsidP="006F48CB">
      <w:pPr>
        <w:pStyle w:val="ListParagraph"/>
        <w:numPr>
          <w:ilvl w:val="0"/>
          <w:numId w:val="7"/>
        </w:numPr>
        <w:spacing w:after="240" w:line="240" w:lineRule="auto"/>
        <w:ind w:left="284" w:right="43" w:hanging="851"/>
        <w:jc w:val="both"/>
        <w:outlineLvl w:val="0"/>
      </w:pPr>
    </w:p>
    <w:p w:rsidR="00D65D91" w:rsidRDefault="00D65D91" w:rsidP="00D65D91">
      <w:pPr>
        <w:pStyle w:val="ListParagraph"/>
      </w:pPr>
    </w:p>
    <w:p w:rsidR="00250068" w:rsidRDefault="00BB2B0E" w:rsidP="006F48CB">
      <w:pPr>
        <w:spacing w:after="240" w:line="240" w:lineRule="auto"/>
        <w:ind w:left="-567" w:right="43"/>
        <w:jc w:val="both"/>
        <w:outlineLvl w:val="0"/>
        <w:rPr>
          <w:color w:val="17365D" w:themeColor="text2" w:themeShade="BF"/>
          <w:u w:val="single"/>
        </w:rPr>
      </w:pPr>
      <w:r w:rsidRPr="003E4393">
        <w:rPr>
          <w:color w:val="17365D" w:themeColor="text2" w:themeShade="BF"/>
          <w:u w:val="single"/>
        </w:rPr>
        <w:t>Comment</w:t>
      </w:r>
    </w:p>
    <w:p w:rsidR="00BB2B0E" w:rsidRDefault="00BB2B0E" w:rsidP="006F48CB">
      <w:pPr>
        <w:spacing w:after="240" w:line="240" w:lineRule="auto"/>
        <w:ind w:left="-567" w:right="43"/>
        <w:jc w:val="both"/>
        <w:outlineLvl w:val="0"/>
      </w:pPr>
      <w:r>
        <w:t xml:space="preserve">The Taylor review is a balanced report which </w:t>
      </w:r>
      <w:r w:rsidR="00635575">
        <w:t>i</w:t>
      </w:r>
      <w:r>
        <w:t>s</w:t>
      </w:r>
      <w:r w:rsidR="00635575">
        <w:t xml:space="preserve"> aimed at compromise by</w:t>
      </w:r>
      <w:r>
        <w:t xml:space="preserve"> improvements to existing law rather than fundamental changes.  Many of its recommendations follow existing Tribunal decisions on challenges to self-employment status which confirm that workers in the gig economy should be entitled to holiday pay and statutory sick pay</w:t>
      </w:r>
      <w:r w:rsidR="00635575">
        <w:t xml:space="preserve"> together with the NMW</w:t>
      </w:r>
      <w:r>
        <w:t>.</w:t>
      </w:r>
      <w:r w:rsidR="00635575">
        <w:t xml:space="preserve">  The report has not, however, been well received by either unions or businesses.</w:t>
      </w:r>
    </w:p>
    <w:p w:rsidR="00BB2B0E" w:rsidRDefault="00BB2B0E" w:rsidP="006F48CB">
      <w:pPr>
        <w:spacing w:after="240" w:line="240" w:lineRule="auto"/>
        <w:ind w:left="-567" w:right="43"/>
        <w:jc w:val="both"/>
        <w:outlineLvl w:val="0"/>
      </w:pPr>
      <w:r>
        <w:t>There seems</w:t>
      </w:r>
      <w:r w:rsidR="0052787C">
        <w:t xml:space="preserve"> to be little political will</w:t>
      </w:r>
      <w:r>
        <w:t xml:space="preserve"> to implement the Taylor Report which would require new regulations</w:t>
      </w:r>
      <w:r w:rsidR="00635575">
        <w:t xml:space="preserve"> so, at present, there are no pending changes to legislation</w:t>
      </w:r>
      <w:r>
        <w:t>.</w:t>
      </w:r>
    </w:p>
    <w:p w:rsidR="00BB2B0E" w:rsidRDefault="00635575" w:rsidP="006F48CB">
      <w:pPr>
        <w:spacing w:after="240" w:line="240" w:lineRule="auto"/>
        <w:ind w:left="-567" w:right="43"/>
        <w:jc w:val="both"/>
        <w:outlineLvl w:val="0"/>
      </w:pPr>
      <w:r>
        <w:t xml:space="preserve">However, perhaps due to </w:t>
      </w:r>
      <w:r w:rsidR="00BB2B0E">
        <w:t xml:space="preserve">the widespread publicity of the various challenges to self-employed status and zero hours’ contract, some employers are now starting to take a different view including offering some form of sick pay </w:t>
      </w:r>
      <w:r>
        <w:t xml:space="preserve">for self-employed workers </w:t>
      </w:r>
      <w:r w:rsidR="00BB2B0E">
        <w:t xml:space="preserve">and limited guaranteed hours for </w:t>
      </w:r>
      <w:r>
        <w:t xml:space="preserve">workers on </w:t>
      </w:r>
      <w:r w:rsidR="00BB2B0E">
        <w:t>zero hours’ contracts.</w:t>
      </w:r>
    </w:p>
    <w:p w:rsidR="00BB2B0E" w:rsidRDefault="00BB2B0E" w:rsidP="006F48CB">
      <w:pPr>
        <w:spacing w:after="240" w:line="240" w:lineRule="auto"/>
        <w:ind w:left="-567" w:right="43"/>
        <w:jc w:val="both"/>
        <w:outlineLvl w:val="0"/>
      </w:pPr>
      <w:r>
        <w:t xml:space="preserve">With the abolition of Tribunal fees, </w:t>
      </w:r>
      <w:r w:rsidR="00EC4C16">
        <w:t>it is also easier for unions/individuals to issue claims challenging self-employment</w:t>
      </w:r>
      <w:r>
        <w:t xml:space="preserve"> status on behalf of their members.  </w:t>
      </w:r>
    </w:p>
    <w:p w:rsidR="006117AB" w:rsidRDefault="006117AB" w:rsidP="006117AB">
      <w:pPr>
        <w:spacing w:after="240" w:line="240" w:lineRule="auto"/>
        <w:ind w:left="-567" w:right="43"/>
        <w:jc w:val="both"/>
        <w:outlineLvl w:val="0"/>
      </w:pPr>
      <w:r>
        <w:br w:type="page"/>
      </w:r>
    </w:p>
    <w:p w:rsidR="006117AB" w:rsidRDefault="006117AB" w:rsidP="006117AB">
      <w:pPr>
        <w:spacing w:after="240" w:line="240" w:lineRule="auto"/>
        <w:ind w:left="-567" w:right="43"/>
        <w:jc w:val="right"/>
        <w:outlineLvl w:val="0"/>
        <w:rPr>
          <w:b/>
          <w:color w:val="17365D" w:themeColor="text2" w:themeShade="BF"/>
          <w:sz w:val="26"/>
          <w:szCs w:val="26"/>
        </w:rPr>
      </w:pPr>
      <w:r w:rsidRPr="00537B4F">
        <w:rPr>
          <w:b/>
          <w:noProof/>
          <w:color w:val="17365D"/>
          <w:sz w:val="36"/>
          <w:szCs w:val="36"/>
        </w:rPr>
        <w:lastRenderedPageBreak/>
        <w:drawing>
          <wp:inline distT="0" distB="0" distL="0" distR="0" wp14:anchorId="4EF0F76D" wp14:editId="0D50F54E">
            <wp:extent cx="666750" cy="381000"/>
            <wp:effectExtent l="0" t="0" r="0" b="0"/>
            <wp:docPr id="5" name="Picture 5" descr="GSC_CMYK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SC_CMYK_72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381000"/>
                    </a:xfrm>
                    <a:prstGeom prst="rect">
                      <a:avLst/>
                    </a:prstGeom>
                    <a:noFill/>
                    <a:ln>
                      <a:noFill/>
                    </a:ln>
                  </pic:spPr>
                </pic:pic>
              </a:graphicData>
            </a:graphic>
          </wp:inline>
        </w:drawing>
      </w:r>
    </w:p>
    <w:p w:rsidR="006117AB" w:rsidRPr="006117AB" w:rsidRDefault="006117AB" w:rsidP="006117AB">
      <w:pPr>
        <w:spacing w:after="240" w:line="240" w:lineRule="auto"/>
        <w:ind w:left="-567" w:right="43"/>
        <w:jc w:val="both"/>
        <w:outlineLvl w:val="0"/>
        <w:rPr>
          <w:b/>
          <w:color w:val="17365D" w:themeColor="text2" w:themeShade="BF"/>
          <w:sz w:val="26"/>
          <w:szCs w:val="26"/>
        </w:rPr>
      </w:pPr>
      <w:r w:rsidRPr="006117AB">
        <w:rPr>
          <w:b/>
          <w:color w:val="17365D" w:themeColor="text2" w:themeShade="BF"/>
          <w:sz w:val="26"/>
          <w:szCs w:val="26"/>
        </w:rPr>
        <w:t>BBC’s Gender Pay Gap Reporting – A Lesson for other Companies?</w:t>
      </w:r>
    </w:p>
    <w:p w:rsidR="006117AB" w:rsidRDefault="005A1F1D" w:rsidP="006117AB">
      <w:pPr>
        <w:spacing w:after="240" w:line="240" w:lineRule="auto"/>
        <w:ind w:left="-567" w:right="43"/>
        <w:jc w:val="both"/>
        <w:outlineLvl w:val="0"/>
      </w:pPr>
      <w:r>
        <w:rPr>
          <w:b/>
          <w:noProof/>
          <w:color w:val="17365D" w:themeColor="text2" w:themeShade="BF"/>
          <w:sz w:val="26"/>
          <w:szCs w:val="26"/>
        </w:rPr>
        <w:drawing>
          <wp:anchor distT="0" distB="0" distL="114300" distR="114300" simplePos="0" relativeHeight="251680768" behindDoc="1" locked="0" layoutInCell="1" allowOverlap="1" wp14:anchorId="0C336C62" wp14:editId="2BD1AE24">
            <wp:simplePos x="0" y="0"/>
            <wp:positionH relativeFrom="column">
              <wp:posOffset>4572000</wp:posOffset>
            </wp:positionH>
            <wp:positionV relativeFrom="paragraph">
              <wp:posOffset>483870</wp:posOffset>
            </wp:positionV>
            <wp:extent cx="1371600" cy="1790700"/>
            <wp:effectExtent l="0" t="0" r="0" b="0"/>
            <wp:wrapTight wrapText="bothSides">
              <wp:wrapPolygon edited="0">
                <wp:start x="0" y="0"/>
                <wp:lineTo x="0" y="21370"/>
                <wp:lineTo x="21300" y="21370"/>
                <wp:lineTo x="21300" y="0"/>
                <wp:lineTo x="0" y="0"/>
              </wp:wrapPolygon>
            </wp:wrapTight>
            <wp:docPr id="7" name="Picture 7" descr="C:\Users\karen.jones\AppData\Local\Microsoft\Windows\Temporary Internet Files\Content.IE5\FIDXLYZV\business-men-and-a-business-wom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jones\AppData\Local\Microsoft\Windows\Temporary Internet Files\Content.IE5\FIDXLYZV\business-men-and-a-business-woman[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7AB">
        <w:t>Publication of gender pay gap information for large companies (250+ staff) is now required by April 2018.  Such companies must make the following calculations in four groups based on lowest to highest pay.</w:t>
      </w:r>
    </w:p>
    <w:p w:rsidR="006117AB" w:rsidRPr="00995CE8" w:rsidRDefault="006117AB" w:rsidP="006117AB">
      <w:pPr>
        <w:spacing w:after="240" w:line="240" w:lineRule="auto"/>
        <w:ind w:left="-567" w:right="43"/>
        <w:jc w:val="both"/>
        <w:outlineLvl w:val="0"/>
      </w:pPr>
      <w:r w:rsidRPr="00995CE8">
        <w:t>1.</w:t>
      </w:r>
      <w:r w:rsidRPr="00995CE8">
        <w:tab/>
        <w:t>The average gender pay gap as a mean average</w:t>
      </w:r>
    </w:p>
    <w:p w:rsidR="006117AB" w:rsidRPr="00995CE8" w:rsidRDefault="006117AB" w:rsidP="006117AB">
      <w:pPr>
        <w:spacing w:after="240" w:line="240" w:lineRule="auto"/>
        <w:ind w:left="-567" w:right="43"/>
        <w:jc w:val="both"/>
        <w:outlineLvl w:val="0"/>
      </w:pPr>
      <w:r w:rsidRPr="00995CE8">
        <w:t>2.</w:t>
      </w:r>
      <w:r w:rsidRPr="00995CE8">
        <w:tab/>
        <w:t>The average gender pay gap as a median average</w:t>
      </w:r>
    </w:p>
    <w:p w:rsidR="006117AB" w:rsidRPr="00995CE8" w:rsidRDefault="006117AB" w:rsidP="006117AB">
      <w:pPr>
        <w:spacing w:after="240" w:line="240" w:lineRule="auto"/>
        <w:ind w:left="-567" w:right="43"/>
        <w:jc w:val="both"/>
        <w:outlineLvl w:val="0"/>
      </w:pPr>
      <w:r w:rsidRPr="00995CE8">
        <w:t>3.</w:t>
      </w:r>
      <w:r w:rsidRPr="00995CE8">
        <w:tab/>
        <w:t>The average bonus gender pay gap as a mean average</w:t>
      </w:r>
    </w:p>
    <w:p w:rsidR="006117AB" w:rsidRPr="00995CE8" w:rsidRDefault="006117AB" w:rsidP="006117AB">
      <w:pPr>
        <w:spacing w:after="240" w:line="240" w:lineRule="auto"/>
        <w:ind w:left="-567" w:right="43"/>
        <w:jc w:val="both"/>
        <w:outlineLvl w:val="0"/>
      </w:pPr>
      <w:r w:rsidRPr="00995CE8">
        <w:t>4.</w:t>
      </w:r>
      <w:r w:rsidRPr="00995CE8">
        <w:tab/>
        <w:t>The average bonus gender pay gap as a median average</w:t>
      </w:r>
    </w:p>
    <w:p w:rsidR="006117AB" w:rsidRDefault="006117AB" w:rsidP="006117AB">
      <w:pPr>
        <w:spacing w:after="240" w:line="240" w:lineRule="auto"/>
        <w:ind w:right="43" w:hanging="567"/>
        <w:jc w:val="both"/>
        <w:outlineLvl w:val="0"/>
      </w:pPr>
      <w:r w:rsidRPr="00995CE8">
        <w:t>5.</w:t>
      </w:r>
      <w:r w:rsidRPr="00995CE8">
        <w:tab/>
        <w:t>The proportion of males receiving a bonus payment and proportion of females receiving a bonus payment</w:t>
      </w:r>
    </w:p>
    <w:p w:rsidR="006117AB" w:rsidRDefault="006117AB" w:rsidP="006117AB">
      <w:pPr>
        <w:spacing w:after="240" w:line="240" w:lineRule="auto"/>
        <w:ind w:left="-567" w:right="43"/>
        <w:jc w:val="both"/>
        <w:outlineLvl w:val="0"/>
      </w:pPr>
      <w:r>
        <w:t>The report must be published on the company’s website as well as on a designated Government website.  Thereafter companies will be required to report on an annual basis.</w:t>
      </w:r>
    </w:p>
    <w:p w:rsidR="006117AB" w:rsidRDefault="006117AB" w:rsidP="006117AB">
      <w:pPr>
        <w:spacing w:after="240" w:line="240" w:lineRule="auto"/>
        <w:ind w:left="-567" w:right="43"/>
        <w:jc w:val="both"/>
        <w:outlineLvl w:val="0"/>
      </w:pPr>
      <w:r>
        <w:t>There are no financial penalties for failing to comply.  However, it is the ‘naming and shaming’ by publication on Government websites or league tables which will be most damaging for a company if their figures do not look good, regardless of any explanation.</w:t>
      </w:r>
    </w:p>
    <w:p w:rsidR="006117AB" w:rsidRDefault="006117AB" w:rsidP="006117AB">
      <w:pPr>
        <w:spacing w:after="240" w:line="240" w:lineRule="auto"/>
        <w:ind w:left="-567" w:right="43"/>
        <w:jc w:val="both"/>
        <w:outlineLvl w:val="0"/>
      </w:pPr>
      <w:r>
        <w:t>Although not legally required to publish its gender pay gap until 2018, the BBC was under political pressure to do so as part of the negotiations for its licence renewal.</w:t>
      </w:r>
    </w:p>
    <w:p w:rsidR="006117AB" w:rsidRDefault="006117AB" w:rsidP="006117AB">
      <w:pPr>
        <w:spacing w:after="240" w:line="240" w:lineRule="auto"/>
        <w:ind w:left="-567" w:right="43"/>
        <w:jc w:val="both"/>
        <w:outlineLvl w:val="0"/>
      </w:pPr>
      <w:r>
        <w:t>The widespread criticism which the BBC received following publication of, not only its gender pay gap, but the vast differences in salary of its male and female staff in comparable roles, shows the damage which can be done to a company’s reputation.</w:t>
      </w:r>
    </w:p>
    <w:p w:rsidR="00A66FAD" w:rsidRDefault="00EB5AD6" w:rsidP="00EB5AD6">
      <w:pPr>
        <w:spacing w:after="240" w:line="240" w:lineRule="auto"/>
        <w:ind w:left="-567" w:right="43"/>
        <w:jc w:val="both"/>
        <w:outlineLvl w:val="0"/>
        <w:rPr>
          <w:b/>
          <w:color w:val="17365D" w:themeColor="text2" w:themeShade="BF"/>
          <w:sz w:val="24"/>
          <w:szCs w:val="24"/>
          <w:shd w:val="clear" w:color="auto" w:fill="FFFFFF" w:themeFill="background1"/>
        </w:rPr>
      </w:pPr>
      <w:r>
        <w:rPr>
          <w:noProof/>
          <w:shd w:val="clear" w:color="auto" w:fill="FFFFFF" w:themeFill="background1"/>
        </w:rPr>
        <w:drawing>
          <wp:anchor distT="0" distB="0" distL="114300" distR="114300" simplePos="0" relativeHeight="251679744" behindDoc="1" locked="0" layoutInCell="1" allowOverlap="1" wp14:anchorId="1849C292" wp14:editId="60BA1E06">
            <wp:simplePos x="0" y="0"/>
            <wp:positionH relativeFrom="column">
              <wp:posOffset>4381500</wp:posOffset>
            </wp:positionH>
            <wp:positionV relativeFrom="paragraph">
              <wp:posOffset>774065</wp:posOffset>
            </wp:positionV>
            <wp:extent cx="1352550" cy="914400"/>
            <wp:effectExtent l="0" t="0" r="0" b="0"/>
            <wp:wrapNone/>
            <wp:docPr id="46" name="Picture 46" descr="C:\Users\karen.jones\AppData\Local\Microsoft\Windows\Temporary Internet Files\Content.IE5\1HKWJL5Z\1329110569_73d29a97d7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ren.jones\AppData\Local\Microsoft\Windows\Temporary Internet Files\Content.IE5\1HKWJL5Z\1329110569_73d29a97d7_b[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7AB">
        <w:t>Some companies may have valid reasons for gender pay differences, particularly at senior level.  However, most people will not be interested in a company’s explanation or justification.  If companies want to avoid being ‘named and shamed’ then they should be taking corrective action now to address any gender pay gap disparity.</w:t>
      </w:r>
      <w:r w:rsidR="00F315E3">
        <w:rPr>
          <w:b/>
          <w:color w:val="17365D" w:themeColor="text2" w:themeShade="BF"/>
          <w:sz w:val="24"/>
          <w:szCs w:val="24"/>
          <w:shd w:val="clear" w:color="auto" w:fill="FFFFFF" w:themeFill="background1"/>
        </w:rPr>
        <w:t xml:space="preserve">                                          </w:t>
      </w:r>
      <w:r w:rsidR="0052787C">
        <w:rPr>
          <w:b/>
          <w:color w:val="17365D" w:themeColor="text2" w:themeShade="BF"/>
          <w:sz w:val="24"/>
          <w:szCs w:val="24"/>
          <w:shd w:val="clear" w:color="auto" w:fill="FFFFFF" w:themeFill="background1"/>
        </w:rPr>
        <w:br/>
      </w:r>
      <w:r w:rsidR="00A66FAD">
        <w:rPr>
          <w:b/>
          <w:color w:val="17365D" w:themeColor="text2" w:themeShade="BF"/>
          <w:sz w:val="24"/>
          <w:szCs w:val="24"/>
          <w:shd w:val="clear" w:color="auto" w:fill="FFFFFF" w:themeFill="background1"/>
        </w:rPr>
        <w:t xml:space="preserve">                                                         </w:t>
      </w:r>
    </w:p>
    <w:p w:rsidR="00F90541" w:rsidRDefault="00A66FAD" w:rsidP="00A66FAD">
      <w:pPr>
        <w:spacing w:after="0" w:line="240" w:lineRule="auto"/>
        <w:rPr>
          <w:b/>
          <w:color w:val="17365D" w:themeColor="text2" w:themeShade="BF"/>
          <w:sz w:val="24"/>
          <w:szCs w:val="24"/>
          <w:shd w:val="clear" w:color="auto" w:fill="FFFFFF" w:themeFill="background1"/>
        </w:rPr>
      </w:pPr>
      <w:r>
        <w:rPr>
          <w:b/>
          <w:color w:val="17365D" w:themeColor="text2" w:themeShade="BF"/>
          <w:sz w:val="24"/>
          <w:szCs w:val="24"/>
          <w:shd w:val="clear" w:color="auto" w:fill="FFFFFF" w:themeFill="background1"/>
        </w:rPr>
        <w:t xml:space="preserve">                                                             </w:t>
      </w:r>
      <w:r w:rsidR="00F90541" w:rsidRPr="00D65D91">
        <w:rPr>
          <w:b/>
          <w:color w:val="17365D" w:themeColor="text2" w:themeShade="BF"/>
          <w:sz w:val="24"/>
          <w:szCs w:val="24"/>
          <w:shd w:val="clear" w:color="auto" w:fill="FFFFFF" w:themeFill="background1"/>
        </w:rPr>
        <w:t>CURRENT RATES</w:t>
      </w:r>
    </w:p>
    <w:p w:rsidR="00EB5AD6" w:rsidRPr="006378E2" w:rsidRDefault="00EB5AD6" w:rsidP="00A66FAD">
      <w:pPr>
        <w:spacing w:after="0" w:line="240" w:lineRule="auto"/>
        <w:rPr>
          <w:b/>
          <w:color w:val="17365D" w:themeColor="text2" w:themeShade="BF"/>
          <w:sz w:val="24"/>
          <w:szCs w:val="24"/>
        </w:rPr>
      </w:pPr>
    </w:p>
    <w:p w:rsidR="00F90541" w:rsidRDefault="00F90541" w:rsidP="00F90541">
      <w:pPr>
        <w:spacing w:after="0" w:line="240" w:lineRule="auto"/>
        <w:ind w:left="-567" w:right="45"/>
        <w:jc w:val="both"/>
        <w:rPr>
          <w:b/>
          <w:color w:val="17365D" w:themeColor="text2" w:themeShade="BF"/>
          <w:sz w:val="24"/>
          <w:szCs w:val="24"/>
        </w:rPr>
      </w:pPr>
      <w:r w:rsidRPr="00A66FAD">
        <w:rPr>
          <w:b/>
          <w:color w:val="17365D" w:themeColor="text2" w:themeShade="BF"/>
          <w:sz w:val="24"/>
          <w:szCs w:val="24"/>
        </w:rPr>
        <w:t xml:space="preserve">National Minimum Wage and National Living Wage   </w:t>
      </w:r>
    </w:p>
    <w:p w:rsidR="00EB5AD6" w:rsidRPr="00A66FAD" w:rsidRDefault="00EB5AD6" w:rsidP="00F90541">
      <w:pPr>
        <w:spacing w:after="0" w:line="240" w:lineRule="auto"/>
        <w:ind w:left="-567" w:right="45"/>
        <w:jc w:val="both"/>
        <w:rPr>
          <w:b/>
          <w:color w:val="17365D" w:themeColor="text2" w:themeShade="BF"/>
          <w:sz w:val="24"/>
          <w:szCs w:val="24"/>
        </w:rPr>
      </w:pPr>
    </w:p>
    <w:p w:rsidR="00F90541" w:rsidRDefault="00F90541" w:rsidP="001F0D0C">
      <w:pPr>
        <w:spacing w:after="0" w:line="240" w:lineRule="auto"/>
        <w:ind w:left="-567" w:right="45"/>
        <w:jc w:val="both"/>
      </w:pPr>
      <w:r w:rsidRPr="00485F3F">
        <w:t xml:space="preserve">The national minimum wage provides a minimum hourly rate of pay for workers between ages 16-24.  The national living wage applies to workers aged 25 and over.  </w:t>
      </w:r>
      <w:r>
        <w:t>T</w:t>
      </w:r>
      <w:r w:rsidRPr="00485F3F">
        <w:t xml:space="preserve">he </w:t>
      </w:r>
      <w:r>
        <w:t>rates for the NMW and the NLW are now increased</w:t>
      </w:r>
      <w:r w:rsidRPr="00485F3F">
        <w:t xml:space="preserve"> in parallel from April 2017</w:t>
      </w:r>
      <w:r>
        <w:t xml:space="preserve"> (previously the NMW was increased in October)</w:t>
      </w:r>
      <w:r w:rsidRPr="00485F3F">
        <w:t>.</w:t>
      </w:r>
      <w:r w:rsidR="00EB5AD6">
        <w:t xml:space="preserve">   </w:t>
      </w:r>
      <w:r w:rsidRPr="00485F3F">
        <w:t xml:space="preserve">The rates increased on 1 </w:t>
      </w:r>
      <w:r>
        <w:t>April 2017</w:t>
      </w:r>
      <w:r w:rsidRPr="00485F3F">
        <w:t xml:space="preserve"> and are as follows:  </w:t>
      </w:r>
    </w:p>
    <w:p w:rsidR="00EB5AD6" w:rsidRDefault="00EB5AD6" w:rsidP="001F0D0C">
      <w:pPr>
        <w:spacing w:after="0" w:line="240" w:lineRule="auto"/>
        <w:ind w:left="-567" w:right="45"/>
        <w:jc w:val="both"/>
      </w:pPr>
    </w:p>
    <w:tbl>
      <w:tblPr>
        <w:tblStyle w:val="TableGrid"/>
        <w:tblW w:w="10074" w:type="dxa"/>
        <w:tblInd w:w="-459" w:type="dxa"/>
        <w:tblLook w:val="04A0" w:firstRow="1" w:lastRow="0" w:firstColumn="1" w:lastColumn="0" w:noHBand="0" w:noVBand="1"/>
      </w:tblPr>
      <w:tblGrid>
        <w:gridCol w:w="2836"/>
        <w:gridCol w:w="1812"/>
        <w:gridCol w:w="1368"/>
        <w:gridCol w:w="1369"/>
        <w:gridCol w:w="1368"/>
        <w:gridCol w:w="1321"/>
      </w:tblGrid>
      <w:tr w:rsidR="00F90541" w:rsidTr="006237FD">
        <w:tc>
          <w:tcPr>
            <w:tcW w:w="2836" w:type="dxa"/>
            <w:shd w:val="clear" w:color="auto" w:fill="C6D9F1" w:themeFill="text2" w:themeFillTint="33"/>
          </w:tcPr>
          <w:p w:rsidR="00F90541" w:rsidRPr="00485F3F" w:rsidRDefault="00F90541" w:rsidP="001F0D0C">
            <w:pPr>
              <w:pStyle w:val="NoSpacing"/>
              <w:ind w:right="43"/>
              <w:jc w:val="center"/>
              <w:rPr>
                <w:rFonts w:asciiTheme="minorHAnsi" w:hAnsiTheme="minorHAnsi" w:cs="Arial"/>
                <w:b/>
                <w:color w:val="17365D" w:themeColor="text2" w:themeShade="BF"/>
                <w:sz w:val="22"/>
                <w:szCs w:val="22"/>
                <w:lang w:val="en-GB"/>
              </w:rPr>
            </w:pPr>
          </w:p>
        </w:tc>
        <w:tc>
          <w:tcPr>
            <w:tcW w:w="1812" w:type="dxa"/>
            <w:shd w:val="clear" w:color="auto" w:fill="C6D9F1" w:themeFill="text2" w:themeFillTint="33"/>
          </w:tcPr>
          <w:p w:rsidR="00F90541" w:rsidRPr="00485F3F" w:rsidRDefault="00F90541" w:rsidP="001F0D0C">
            <w:pPr>
              <w:pStyle w:val="NoSpacing"/>
              <w:ind w:right="43" w:firstLine="142"/>
              <w:jc w:val="center"/>
              <w:rPr>
                <w:rFonts w:asciiTheme="minorHAnsi" w:hAnsiTheme="minorHAnsi" w:cs="Arial"/>
                <w:b/>
                <w:color w:val="17365D" w:themeColor="text2" w:themeShade="BF"/>
                <w:sz w:val="22"/>
                <w:szCs w:val="22"/>
                <w:lang w:val="en-GB"/>
              </w:rPr>
            </w:pPr>
            <w:r w:rsidRPr="00485F3F">
              <w:rPr>
                <w:rFonts w:asciiTheme="minorHAnsi" w:hAnsiTheme="minorHAnsi" w:cs="Arial"/>
                <w:b/>
                <w:color w:val="17365D" w:themeColor="text2" w:themeShade="BF"/>
                <w:sz w:val="22"/>
                <w:szCs w:val="22"/>
                <w:lang w:val="en-GB"/>
              </w:rPr>
              <w:t>Apprentices</w:t>
            </w:r>
          </w:p>
        </w:tc>
        <w:tc>
          <w:tcPr>
            <w:tcW w:w="1368" w:type="dxa"/>
            <w:shd w:val="clear" w:color="auto" w:fill="C6D9F1" w:themeFill="text2" w:themeFillTint="33"/>
          </w:tcPr>
          <w:p w:rsidR="00F90541" w:rsidRPr="00485F3F" w:rsidRDefault="00F90541" w:rsidP="001F0D0C">
            <w:pPr>
              <w:pStyle w:val="NoSpacing"/>
              <w:ind w:right="43"/>
              <w:jc w:val="center"/>
              <w:rPr>
                <w:rFonts w:asciiTheme="minorHAnsi" w:hAnsiTheme="minorHAnsi" w:cs="Arial"/>
                <w:b/>
                <w:color w:val="17365D" w:themeColor="text2" w:themeShade="BF"/>
                <w:sz w:val="22"/>
                <w:szCs w:val="22"/>
                <w:lang w:val="en-GB"/>
              </w:rPr>
            </w:pPr>
            <w:r w:rsidRPr="00485F3F">
              <w:rPr>
                <w:rFonts w:asciiTheme="minorHAnsi" w:hAnsiTheme="minorHAnsi" w:cs="Arial"/>
                <w:b/>
                <w:color w:val="17365D" w:themeColor="text2" w:themeShade="BF"/>
                <w:sz w:val="22"/>
                <w:szCs w:val="22"/>
                <w:lang w:val="en-GB"/>
              </w:rPr>
              <w:t>16 and 17</w:t>
            </w:r>
          </w:p>
        </w:tc>
        <w:tc>
          <w:tcPr>
            <w:tcW w:w="1369" w:type="dxa"/>
            <w:shd w:val="clear" w:color="auto" w:fill="C6D9F1" w:themeFill="text2" w:themeFillTint="33"/>
          </w:tcPr>
          <w:p w:rsidR="00F90541" w:rsidRPr="00485F3F" w:rsidRDefault="00F90541" w:rsidP="001F0D0C">
            <w:pPr>
              <w:pStyle w:val="NoSpacing"/>
              <w:ind w:right="43"/>
              <w:jc w:val="center"/>
              <w:rPr>
                <w:rFonts w:asciiTheme="minorHAnsi" w:hAnsiTheme="minorHAnsi" w:cs="Arial"/>
                <w:b/>
                <w:color w:val="17365D" w:themeColor="text2" w:themeShade="BF"/>
                <w:sz w:val="22"/>
                <w:szCs w:val="22"/>
                <w:lang w:val="en-GB"/>
              </w:rPr>
            </w:pPr>
            <w:r w:rsidRPr="00485F3F">
              <w:rPr>
                <w:rFonts w:asciiTheme="minorHAnsi" w:hAnsiTheme="minorHAnsi" w:cs="Arial"/>
                <w:b/>
                <w:color w:val="17365D" w:themeColor="text2" w:themeShade="BF"/>
                <w:sz w:val="22"/>
                <w:szCs w:val="22"/>
                <w:lang w:val="en-GB"/>
              </w:rPr>
              <w:t>18 – 20</w:t>
            </w:r>
          </w:p>
        </w:tc>
        <w:tc>
          <w:tcPr>
            <w:tcW w:w="1368" w:type="dxa"/>
            <w:shd w:val="clear" w:color="auto" w:fill="C6D9F1" w:themeFill="text2" w:themeFillTint="33"/>
          </w:tcPr>
          <w:p w:rsidR="00F90541" w:rsidRPr="00485F3F" w:rsidRDefault="00F90541" w:rsidP="001F0D0C">
            <w:pPr>
              <w:pStyle w:val="NoSpacing"/>
              <w:ind w:right="43"/>
              <w:jc w:val="center"/>
              <w:rPr>
                <w:rFonts w:asciiTheme="minorHAnsi" w:hAnsiTheme="minorHAnsi" w:cs="Arial"/>
                <w:b/>
                <w:color w:val="17365D" w:themeColor="text2" w:themeShade="BF"/>
                <w:sz w:val="22"/>
                <w:szCs w:val="22"/>
                <w:lang w:val="en-GB"/>
              </w:rPr>
            </w:pPr>
            <w:r w:rsidRPr="00485F3F">
              <w:rPr>
                <w:rFonts w:asciiTheme="minorHAnsi" w:hAnsiTheme="minorHAnsi" w:cs="Arial"/>
                <w:b/>
                <w:color w:val="17365D" w:themeColor="text2" w:themeShade="BF"/>
                <w:sz w:val="22"/>
                <w:szCs w:val="22"/>
                <w:lang w:val="en-GB"/>
              </w:rPr>
              <w:t>21 – 24</w:t>
            </w:r>
          </w:p>
        </w:tc>
        <w:tc>
          <w:tcPr>
            <w:tcW w:w="1321" w:type="dxa"/>
            <w:shd w:val="clear" w:color="auto" w:fill="C6D9F1" w:themeFill="text2" w:themeFillTint="33"/>
          </w:tcPr>
          <w:p w:rsidR="00F90541" w:rsidRPr="00485F3F" w:rsidRDefault="00F90541" w:rsidP="001F0D0C">
            <w:pPr>
              <w:pStyle w:val="NoSpacing"/>
              <w:ind w:right="43"/>
              <w:jc w:val="center"/>
              <w:rPr>
                <w:rFonts w:asciiTheme="minorHAnsi" w:hAnsiTheme="minorHAnsi" w:cs="Arial"/>
                <w:b/>
                <w:color w:val="17365D" w:themeColor="text2" w:themeShade="BF"/>
                <w:sz w:val="22"/>
                <w:szCs w:val="22"/>
                <w:lang w:val="en-GB"/>
              </w:rPr>
            </w:pPr>
            <w:r w:rsidRPr="00485F3F">
              <w:rPr>
                <w:rFonts w:asciiTheme="minorHAnsi" w:hAnsiTheme="minorHAnsi" w:cs="Arial"/>
                <w:b/>
                <w:color w:val="17365D" w:themeColor="text2" w:themeShade="BF"/>
                <w:sz w:val="22"/>
                <w:szCs w:val="22"/>
                <w:lang w:val="en-GB"/>
              </w:rPr>
              <w:t>25+</w:t>
            </w:r>
          </w:p>
        </w:tc>
      </w:tr>
      <w:tr w:rsidR="00F90541" w:rsidTr="006237FD">
        <w:trPr>
          <w:trHeight w:val="366"/>
        </w:trPr>
        <w:tc>
          <w:tcPr>
            <w:tcW w:w="2836" w:type="dxa"/>
          </w:tcPr>
          <w:p w:rsidR="00F90541" w:rsidRPr="00485F3F" w:rsidRDefault="00F90541" w:rsidP="001F0D0C">
            <w:pPr>
              <w:spacing w:after="0" w:line="240" w:lineRule="auto"/>
              <w:ind w:right="43"/>
              <w:rPr>
                <w:rFonts w:cs="Arial"/>
                <w:color w:val="17365D" w:themeColor="text2" w:themeShade="BF"/>
              </w:rPr>
            </w:pPr>
            <w:r w:rsidRPr="00485F3F">
              <w:rPr>
                <w:rFonts w:cs="Arial"/>
                <w:color w:val="17365D" w:themeColor="text2" w:themeShade="BF"/>
              </w:rPr>
              <w:t>National Minimum Wage</w:t>
            </w:r>
          </w:p>
        </w:tc>
        <w:tc>
          <w:tcPr>
            <w:tcW w:w="1812" w:type="dxa"/>
          </w:tcPr>
          <w:p w:rsidR="00F90541" w:rsidRPr="00485F3F" w:rsidRDefault="00F90541" w:rsidP="001F0D0C">
            <w:pPr>
              <w:spacing w:after="0" w:line="240" w:lineRule="auto"/>
              <w:ind w:right="43"/>
              <w:jc w:val="center"/>
              <w:rPr>
                <w:rFonts w:cs="Arial"/>
                <w:color w:val="17365D" w:themeColor="text2" w:themeShade="BF"/>
              </w:rPr>
            </w:pPr>
            <w:r w:rsidRPr="00485F3F">
              <w:rPr>
                <w:rFonts w:cs="Arial"/>
                <w:color w:val="17365D" w:themeColor="text2" w:themeShade="BF"/>
              </w:rPr>
              <w:t>£3.50</w:t>
            </w:r>
          </w:p>
        </w:tc>
        <w:tc>
          <w:tcPr>
            <w:tcW w:w="1368" w:type="dxa"/>
          </w:tcPr>
          <w:p w:rsidR="00F90541" w:rsidRPr="00485F3F" w:rsidRDefault="00F90541" w:rsidP="001F0D0C">
            <w:pPr>
              <w:spacing w:after="0" w:line="240" w:lineRule="auto"/>
              <w:ind w:right="43"/>
              <w:jc w:val="center"/>
              <w:rPr>
                <w:rFonts w:cs="Arial"/>
                <w:color w:val="17365D" w:themeColor="text2" w:themeShade="BF"/>
              </w:rPr>
            </w:pPr>
            <w:r w:rsidRPr="00485F3F">
              <w:rPr>
                <w:rFonts w:cs="Arial"/>
                <w:color w:val="17365D" w:themeColor="text2" w:themeShade="BF"/>
              </w:rPr>
              <w:t>£4.05</w:t>
            </w:r>
          </w:p>
        </w:tc>
        <w:tc>
          <w:tcPr>
            <w:tcW w:w="1369" w:type="dxa"/>
          </w:tcPr>
          <w:p w:rsidR="00F90541" w:rsidRPr="00485F3F" w:rsidRDefault="00F90541" w:rsidP="001F0D0C">
            <w:pPr>
              <w:spacing w:after="0" w:line="240" w:lineRule="auto"/>
              <w:ind w:right="43"/>
              <w:jc w:val="center"/>
              <w:rPr>
                <w:rFonts w:cs="Arial"/>
                <w:color w:val="17365D" w:themeColor="text2" w:themeShade="BF"/>
              </w:rPr>
            </w:pPr>
            <w:r w:rsidRPr="00485F3F">
              <w:rPr>
                <w:rFonts w:cs="Arial"/>
                <w:color w:val="17365D" w:themeColor="text2" w:themeShade="BF"/>
              </w:rPr>
              <w:t>£5.60</w:t>
            </w:r>
          </w:p>
        </w:tc>
        <w:tc>
          <w:tcPr>
            <w:tcW w:w="1368" w:type="dxa"/>
          </w:tcPr>
          <w:p w:rsidR="00F90541" w:rsidRPr="00485F3F" w:rsidRDefault="00F90541" w:rsidP="001F0D0C">
            <w:pPr>
              <w:spacing w:after="0" w:line="240" w:lineRule="auto"/>
              <w:ind w:right="43"/>
              <w:jc w:val="center"/>
              <w:rPr>
                <w:rFonts w:cs="Arial"/>
                <w:color w:val="17365D" w:themeColor="text2" w:themeShade="BF"/>
              </w:rPr>
            </w:pPr>
            <w:r w:rsidRPr="00485F3F">
              <w:rPr>
                <w:rFonts w:cs="Arial"/>
                <w:color w:val="17365D" w:themeColor="text2" w:themeShade="BF"/>
              </w:rPr>
              <w:t>£7.05</w:t>
            </w:r>
          </w:p>
        </w:tc>
        <w:tc>
          <w:tcPr>
            <w:tcW w:w="1321" w:type="dxa"/>
          </w:tcPr>
          <w:p w:rsidR="00F90541" w:rsidRPr="00485F3F" w:rsidRDefault="00F90541" w:rsidP="001F0D0C">
            <w:pPr>
              <w:spacing w:after="0" w:line="240" w:lineRule="auto"/>
              <w:ind w:right="43"/>
              <w:jc w:val="center"/>
              <w:rPr>
                <w:rFonts w:cs="Arial"/>
                <w:color w:val="17365D" w:themeColor="text2" w:themeShade="BF"/>
              </w:rPr>
            </w:pPr>
          </w:p>
        </w:tc>
      </w:tr>
      <w:tr w:rsidR="00F90541" w:rsidTr="006237FD">
        <w:trPr>
          <w:trHeight w:val="366"/>
        </w:trPr>
        <w:tc>
          <w:tcPr>
            <w:tcW w:w="2836" w:type="dxa"/>
          </w:tcPr>
          <w:p w:rsidR="00F90541" w:rsidRPr="00485F3F" w:rsidRDefault="00F90541" w:rsidP="001F0D0C">
            <w:pPr>
              <w:spacing w:after="0" w:line="240" w:lineRule="auto"/>
              <w:ind w:right="43"/>
              <w:rPr>
                <w:rFonts w:cs="Arial"/>
                <w:color w:val="17365D" w:themeColor="text2" w:themeShade="BF"/>
              </w:rPr>
            </w:pPr>
            <w:r>
              <w:rPr>
                <w:rFonts w:cs="Arial"/>
                <w:color w:val="17365D" w:themeColor="text2" w:themeShade="BF"/>
              </w:rPr>
              <w:t>National Living Wage</w:t>
            </w:r>
          </w:p>
        </w:tc>
        <w:tc>
          <w:tcPr>
            <w:tcW w:w="1812" w:type="dxa"/>
          </w:tcPr>
          <w:p w:rsidR="00F90541" w:rsidRPr="00485F3F" w:rsidRDefault="00F90541" w:rsidP="001F0D0C">
            <w:pPr>
              <w:spacing w:after="0" w:line="240" w:lineRule="auto"/>
              <w:ind w:right="43"/>
              <w:jc w:val="center"/>
              <w:rPr>
                <w:rFonts w:cs="Arial"/>
                <w:color w:val="17365D" w:themeColor="text2" w:themeShade="BF"/>
              </w:rPr>
            </w:pPr>
          </w:p>
        </w:tc>
        <w:tc>
          <w:tcPr>
            <w:tcW w:w="1368" w:type="dxa"/>
          </w:tcPr>
          <w:p w:rsidR="00F90541" w:rsidRPr="00485F3F" w:rsidRDefault="00F90541" w:rsidP="001F0D0C">
            <w:pPr>
              <w:spacing w:after="0" w:line="240" w:lineRule="auto"/>
              <w:ind w:right="43"/>
              <w:jc w:val="center"/>
              <w:rPr>
                <w:rFonts w:cs="Arial"/>
                <w:color w:val="17365D" w:themeColor="text2" w:themeShade="BF"/>
              </w:rPr>
            </w:pPr>
          </w:p>
        </w:tc>
        <w:tc>
          <w:tcPr>
            <w:tcW w:w="1369" w:type="dxa"/>
          </w:tcPr>
          <w:p w:rsidR="00F90541" w:rsidRPr="00485F3F" w:rsidRDefault="00F90541" w:rsidP="001F0D0C">
            <w:pPr>
              <w:spacing w:after="0" w:line="240" w:lineRule="auto"/>
              <w:ind w:right="43"/>
              <w:jc w:val="center"/>
              <w:rPr>
                <w:rFonts w:cs="Arial"/>
                <w:color w:val="17365D" w:themeColor="text2" w:themeShade="BF"/>
              </w:rPr>
            </w:pPr>
          </w:p>
        </w:tc>
        <w:tc>
          <w:tcPr>
            <w:tcW w:w="1368" w:type="dxa"/>
          </w:tcPr>
          <w:p w:rsidR="00F90541" w:rsidRPr="00485F3F" w:rsidRDefault="00F90541" w:rsidP="001F0D0C">
            <w:pPr>
              <w:spacing w:after="0" w:line="240" w:lineRule="auto"/>
              <w:ind w:right="43"/>
              <w:jc w:val="center"/>
              <w:rPr>
                <w:rFonts w:cs="Arial"/>
                <w:color w:val="17365D" w:themeColor="text2" w:themeShade="BF"/>
              </w:rPr>
            </w:pPr>
          </w:p>
        </w:tc>
        <w:tc>
          <w:tcPr>
            <w:tcW w:w="1321" w:type="dxa"/>
          </w:tcPr>
          <w:p w:rsidR="00F90541" w:rsidRPr="00485F3F" w:rsidRDefault="00F90541" w:rsidP="001F0D0C">
            <w:pPr>
              <w:spacing w:after="0" w:line="240" w:lineRule="auto"/>
              <w:ind w:right="43"/>
              <w:jc w:val="center"/>
              <w:rPr>
                <w:rFonts w:cs="Arial"/>
                <w:color w:val="17365D" w:themeColor="text2" w:themeShade="BF"/>
              </w:rPr>
            </w:pPr>
            <w:r w:rsidRPr="00485F3F">
              <w:rPr>
                <w:rFonts w:cs="Arial"/>
                <w:color w:val="17365D" w:themeColor="text2" w:themeShade="BF"/>
              </w:rPr>
              <w:t>£7.50</w:t>
            </w:r>
          </w:p>
        </w:tc>
      </w:tr>
    </w:tbl>
    <w:p w:rsidR="00F90541" w:rsidRDefault="00F90541" w:rsidP="00F90541">
      <w:pPr>
        <w:spacing w:after="0" w:line="240" w:lineRule="auto"/>
        <w:ind w:left="-567"/>
        <w:rPr>
          <w:b/>
          <w:color w:val="244061" w:themeColor="accent1" w:themeShade="80"/>
          <w:sz w:val="24"/>
          <w:szCs w:val="24"/>
        </w:rPr>
      </w:pPr>
    </w:p>
    <w:p w:rsidR="00F90541" w:rsidRPr="00485F3F" w:rsidRDefault="00F90541" w:rsidP="00F90541">
      <w:pPr>
        <w:spacing w:after="240" w:line="240" w:lineRule="auto"/>
        <w:ind w:left="-567" w:right="43"/>
        <w:jc w:val="both"/>
      </w:pPr>
      <w:r w:rsidRPr="00485F3F">
        <w:t>The penalties for failing to pay the NMW and NLW are high and can be u</w:t>
      </w:r>
      <w:r>
        <w:t xml:space="preserve">p to £20k per worker.  </w:t>
      </w:r>
    </w:p>
    <w:p w:rsidR="00EB5AD6" w:rsidRDefault="00EB5AD6" w:rsidP="00EB5AD6">
      <w:pPr>
        <w:spacing w:after="0" w:line="240" w:lineRule="auto"/>
        <w:ind w:left="-567"/>
        <w:jc w:val="right"/>
        <w:rPr>
          <w:b/>
          <w:color w:val="244061" w:themeColor="accent1" w:themeShade="80"/>
          <w:sz w:val="24"/>
          <w:szCs w:val="24"/>
        </w:rPr>
      </w:pPr>
      <w:r w:rsidRPr="00537B4F">
        <w:rPr>
          <w:b/>
          <w:noProof/>
          <w:color w:val="17365D"/>
          <w:sz w:val="36"/>
          <w:szCs w:val="36"/>
        </w:rPr>
        <w:lastRenderedPageBreak/>
        <w:drawing>
          <wp:inline distT="0" distB="0" distL="0" distR="0" wp14:anchorId="78AC6ED6" wp14:editId="0A25131D">
            <wp:extent cx="666750" cy="381000"/>
            <wp:effectExtent l="0" t="0" r="0" b="0"/>
            <wp:docPr id="6" name="Picture 6" descr="GSC_CMYK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SC_CMYK_72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381000"/>
                    </a:xfrm>
                    <a:prstGeom prst="rect">
                      <a:avLst/>
                    </a:prstGeom>
                    <a:noFill/>
                    <a:ln>
                      <a:noFill/>
                    </a:ln>
                  </pic:spPr>
                </pic:pic>
              </a:graphicData>
            </a:graphic>
          </wp:inline>
        </w:drawing>
      </w:r>
    </w:p>
    <w:p w:rsidR="00EB5AD6" w:rsidRDefault="00EB5AD6" w:rsidP="00F90541">
      <w:pPr>
        <w:spacing w:after="0" w:line="240" w:lineRule="auto"/>
        <w:ind w:left="-567"/>
        <w:rPr>
          <w:b/>
          <w:color w:val="244061" w:themeColor="accent1" w:themeShade="80"/>
          <w:sz w:val="24"/>
          <w:szCs w:val="24"/>
        </w:rPr>
      </w:pPr>
    </w:p>
    <w:p w:rsidR="00F90541" w:rsidRDefault="00F90541" w:rsidP="00F90541">
      <w:pPr>
        <w:spacing w:after="0" w:line="240" w:lineRule="auto"/>
        <w:ind w:left="-567"/>
        <w:rPr>
          <w:b/>
          <w:color w:val="244061" w:themeColor="accent1" w:themeShade="80"/>
          <w:sz w:val="24"/>
          <w:szCs w:val="24"/>
        </w:rPr>
      </w:pPr>
      <w:r w:rsidRPr="00A66FAD">
        <w:rPr>
          <w:b/>
          <w:color w:val="244061" w:themeColor="accent1" w:themeShade="80"/>
          <w:sz w:val="24"/>
          <w:szCs w:val="24"/>
        </w:rPr>
        <w:t>Employment Protection Awards</w:t>
      </w:r>
    </w:p>
    <w:p w:rsidR="00EB5AD6" w:rsidRPr="00A66FAD" w:rsidRDefault="00EB5AD6" w:rsidP="00F90541">
      <w:pPr>
        <w:spacing w:after="0" w:line="240" w:lineRule="auto"/>
        <w:ind w:left="-567"/>
        <w:rPr>
          <w:b/>
          <w:color w:val="244061" w:themeColor="accent1" w:themeShade="80"/>
          <w:sz w:val="24"/>
          <w:szCs w:val="24"/>
        </w:rPr>
      </w:pPr>
    </w:p>
    <w:p w:rsidR="00F90541" w:rsidRPr="00FD7D4C" w:rsidRDefault="00F90541" w:rsidP="00F90541">
      <w:pPr>
        <w:spacing w:after="240" w:line="240" w:lineRule="auto"/>
        <w:ind w:left="-567" w:right="43"/>
        <w:jc w:val="both"/>
      </w:pPr>
      <w:r w:rsidRPr="00FD7D4C">
        <w:t xml:space="preserve">The maximum limits on employment protection awards are increased in April each year.  From 6 April 2017 the rates are as follows and apply to all dismissals after this date:  </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536"/>
      </w:tblGrid>
      <w:tr w:rsidR="00F90541" w:rsidRPr="008504A5" w:rsidTr="006237FD">
        <w:trPr>
          <w:trHeight w:val="538"/>
        </w:trPr>
        <w:tc>
          <w:tcPr>
            <w:tcW w:w="5670" w:type="dxa"/>
            <w:tcBorders>
              <w:bottom w:val="single" w:sz="4" w:space="0" w:color="auto"/>
            </w:tcBorders>
            <w:shd w:val="clear" w:color="auto" w:fill="C6D9F1" w:themeFill="text2" w:themeFillTint="33"/>
          </w:tcPr>
          <w:p w:rsidR="00F90541" w:rsidRPr="00485F3F" w:rsidRDefault="00F90541" w:rsidP="001F0D0C">
            <w:pPr>
              <w:pStyle w:val="NoSpacing"/>
              <w:ind w:right="43"/>
              <w:jc w:val="center"/>
              <w:rPr>
                <w:rFonts w:asciiTheme="minorHAnsi" w:hAnsiTheme="minorHAnsi" w:cs="Arial"/>
                <w:b/>
                <w:color w:val="17365D" w:themeColor="text2" w:themeShade="BF"/>
                <w:sz w:val="22"/>
                <w:szCs w:val="22"/>
                <w:lang w:val="en-GB"/>
              </w:rPr>
            </w:pPr>
            <w:r w:rsidRPr="00485F3F">
              <w:rPr>
                <w:rFonts w:asciiTheme="minorHAnsi" w:hAnsiTheme="minorHAnsi" w:cs="Arial"/>
                <w:b/>
                <w:color w:val="17365D" w:themeColor="text2" w:themeShade="BF"/>
                <w:sz w:val="22"/>
                <w:szCs w:val="22"/>
                <w:lang w:val="en-GB"/>
              </w:rPr>
              <w:t>Award</w:t>
            </w:r>
          </w:p>
        </w:tc>
        <w:tc>
          <w:tcPr>
            <w:tcW w:w="4536" w:type="dxa"/>
            <w:tcBorders>
              <w:bottom w:val="single" w:sz="4" w:space="0" w:color="auto"/>
            </w:tcBorders>
            <w:shd w:val="clear" w:color="auto" w:fill="C6D9F1" w:themeFill="text2" w:themeFillTint="33"/>
          </w:tcPr>
          <w:p w:rsidR="00F90541" w:rsidRPr="00485F3F" w:rsidRDefault="00F90541" w:rsidP="001F0D0C">
            <w:pPr>
              <w:pStyle w:val="NoSpacing"/>
              <w:ind w:right="43"/>
              <w:jc w:val="center"/>
              <w:rPr>
                <w:rFonts w:asciiTheme="minorHAnsi" w:hAnsiTheme="minorHAnsi" w:cs="Arial"/>
                <w:b/>
                <w:color w:val="17365D" w:themeColor="text2" w:themeShade="BF"/>
                <w:sz w:val="22"/>
                <w:szCs w:val="22"/>
                <w:lang w:val="en-GB"/>
              </w:rPr>
            </w:pPr>
            <w:r w:rsidRPr="00485F3F">
              <w:rPr>
                <w:rFonts w:asciiTheme="minorHAnsi" w:hAnsiTheme="minorHAnsi" w:cs="Arial"/>
                <w:b/>
                <w:color w:val="17365D" w:themeColor="text2" w:themeShade="BF"/>
                <w:sz w:val="22"/>
                <w:szCs w:val="22"/>
                <w:lang w:val="en-GB"/>
              </w:rPr>
              <w:t xml:space="preserve">Current Rate </w:t>
            </w:r>
          </w:p>
          <w:p w:rsidR="00F90541" w:rsidRPr="00485F3F" w:rsidRDefault="00F90541" w:rsidP="001F0D0C">
            <w:pPr>
              <w:pStyle w:val="NoSpacing"/>
              <w:ind w:right="43"/>
              <w:jc w:val="center"/>
              <w:rPr>
                <w:rFonts w:asciiTheme="minorHAnsi" w:hAnsiTheme="minorHAnsi" w:cs="Arial"/>
                <w:b/>
                <w:color w:val="17365D" w:themeColor="text2" w:themeShade="BF"/>
                <w:sz w:val="22"/>
                <w:szCs w:val="22"/>
                <w:lang w:val="en-GB"/>
              </w:rPr>
            </w:pPr>
            <w:r w:rsidRPr="00485F3F">
              <w:rPr>
                <w:rFonts w:asciiTheme="minorHAnsi" w:hAnsiTheme="minorHAnsi" w:cs="Arial"/>
                <w:b/>
                <w:color w:val="17365D" w:themeColor="text2" w:themeShade="BF"/>
                <w:sz w:val="22"/>
                <w:szCs w:val="22"/>
                <w:lang w:val="en-GB"/>
              </w:rPr>
              <w:t>(applies to dismissals from 6 April 2017)</w:t>
            </w:r>
          </w:p>
        </w:tc>
      </w:tr>
      <w:tr w:rsidR="00F90541" w:rsidRPr="00FD7D4C" w:rsidTr="006237FD">
        <w:trPr>
          <w:trHeight w:val="452"/>
        </w:trPr>
        <w:tc>
          <w:tcPr>
            <w:tcW w:w="5670" w:type="dxa"/>
            <w:shd w:val="clear" w:color="auto" w:fill="auto"/>
          </w:tcPr>
          <w:p w:rsidR="00F90541" w:rsidRPr="00FD7D4C" w:rsidRDefault="00F90541" w:rsidP="001F0D0C">
            <w:pPr>
              <w:spacing w:line="240" w:lineRule="auto"/>
              <w:ind w:right="43"/>
              <w:rPr>
                <w:rFonts w:cs="Arial"/>
                <w:color w:val="17365D" w:themeColor="text2" w:themeShade="BF"/>
              </w:rPr>
            </w:pPr>
            <w:r w:rsidRPr="00FD7D4C">
              <w:rPr>
                <w:rFonts w:cs="Arial"/>
                <w:color w:val="17365D" w:themeColor="text2" w:themeShade="BF"/>
              </w:rPr>
              <w:t>Unfair dismissal compensatory award (maximum)</w:t>
            </w:r>
          </w:p>
        </w:tc>
        <w:tc>
          <w:tcPr>
            <w:tcW w:w="4536" w:type="dxa"/>
            <w:shd w:val="clear" w:color="auto" w:fill="auto"/>
          </w:tcPr>
          <w:p w:rsidR="00F90541" w:rsidRPr="00FD7D4C" w:rsidRDefault="00F90541" w:rsidP="001F0D0C">
            <w:pPr>
              <w:spacing w:after="0" w:line="240" w:lineRule="auto"/>
              <w:ind w:right="45"/>
              <w:jc w:val="center"/>
              <w:rPr>
                <w:rFonts w:cs="Arial"/>
                <w:b/>
                <w:color w:val="17365D" w:themeColor="text2" w:themeShade="BF"/>
              </w:rPr>
            </w:pPr>
            <w:r w:rsidRPr="00FD7D4C">
              <w:rPr>
                <w:rFonts w:cs="Arial"/>
                <w:b/>
                <w:color w:val="17365D" w:themeColor="text2" w:themeShade="BF"/>
              </w:rPr>
              <w:t xml:space="preserve">£80,541 </w:t>
            </w:r>
          </w:p>
          <w:p w:rsidR="00F90541" w:rsidRPr="00D908D7" w:rsidRDefault="00F90541" w:rsidP="001F0D0C">
            <w:pPr>
              <w:spacing w:after="0" w:line="240" w:lineRule="auto"/>
              <w:ind w:right="45"/>
              <w:jc w:val="center"/>
              <w:rPr>
                <w:rFonts w:cs="Arial"/>
                <w:color w:val="17365D" w:themeColor="text2" w:themeShade="BF"/>
                <w:sz w:val="20"/>
                <w:szCs w:val="20"/>
              </w:rPr>
            </w:pPr>
            <w:r w:rsidRPr="00D908D7">
              <w:rPr>
                <w:rFonts w:cs="Arial"/>
                <w:color w:val="17365D" w:themeColor="text2" w:themeShade="BF"/>
                <w:sz w:val="20"/>
                <w:szCs w:val="20"/>
              </w:rPr>
              <w:t>(maximum – or 12 months’ pay, whichever is lower)</w:t>
            </w:r>
          </w:p>
        </w:tc>
      </w:tr>
      <w:tr w:rsidR="00F90541" w:rsidRPr="00FD7D4C" w:rsidTr="006237FD">
        <w:trPr>
          <w:trHeight w:val="219"/>
        </w:trPr>
        <w:tc>
          <w:tcPr>
            <w:tcW w:w="5670" w:type="dxa"/>
            <w:shd w:val="clear" w:color="auto" w:fill="auto"/>
          </w:tcPr>
          <w:p w:rsidR="00F90541" w:rsidRPr="000F0C6A" w:rsidRDefault="00F90541" w:rsidP="001F0D0C">
            <w:pPr>
              <w:spacing w:line="240" w:lineRule="auto"/>
              <w:ind w:right="43"/>
              <w:rPr>
                <w:rFonts w:cs="Arial"/>
                <w:color w:val="17365D" w:themeColor="text2" w:themeShade="BF"/>
                <w:sz w:val="21"/>
                <w:szCs w:val="21"/>
              </w:rPr>
            </w:pPr>
            <w:r w:rsidRPr="000F0C6A">
              <w:rPr>
                <w:rFonts w:cs="Arial"/>
                <w:color w:val="17365D" w:themeColor="text2" w:themeShade="BF"/>
                <w:sz w:val="21"/>
                <w:szCs w:val="21"/>
              </w:rPr>
              <w:t>One week’s pay for statutory redundancy pay and basic award</w:t>
            </w:r>
          </w:p>
        </w:tc>
        <w:tc>
          <w:tcPr>
            <w:tcW w:w="4536" w:type="dxa"/>
            <w:shd w:val="clear" w:color="auto" w:fill="auto"/>
          </w:tcPr>
          <w:p w:rsidR="00F90541" w:rsidRPr="00FD7D4C" w:rsidRDefault="00F90541" w:rsidP="001F0D0C">
            <w:pPr>
              <w:spacing w:line="240" w:lineRule="auto"/>
              <w:ind w:right="43"/>
              <w:jc w:val="center"/>
              <w:rPr>
                <w:rFonts w:cs="Arial"/>
                <w:b/>
                <w:color w:val="17365D" w:themeColor="text2" w:themeShade="BF"/>
              </w:rPr>
            </w:pPr>
            <w:r w:rsidRPr="00FD7D4C">
              <w:rPr>
                <w:rFonts w:cs="Arial"/>
                <w:b/>
                <w:color w:val="17365D" w:themeColor="text2" w:themeShade="BF"/>
              </w:rPr>
              <w:t>£489</w:t>
            </w:r>
          </w:p>
        </w:tc>
      </w:tr>
      <w:tr w:rsidR="00F90541" w:rsidRPr="00FD7D4C" w:rsidTr="006237FD">
        <w:trPr>
          <w:trHeight w:val="373"/>
        </w:trPr>
        <w:tc>
          <w:tcPr>
            <w:tcW w:w="5670" w:type="dxa"/>
            <w:shd w:val="clear" w:color="auto" w:fill="auto"/>
          </w:tcPr>
          <w:p w:rsidR="00F90541" w:rsidRPr="00FD7D4C" w:rsidRDefault="00F90541" w:rsidP="001F0D0C">
            <w:pPr>
              <w:spacing w:line="240" w:lineRule="auto"/>
              <w:ind w:right="43"/>
              <w:rPr>
                <w:rFonts w:cs="Arial"/>
                <w:color w:val="17365D" w:themeColor="text2" w:themeShade="BF"/>
              </w:rPr>
            </w:pPr>
            <w:r w:rsidRPr="00FD7D4C">
              <w:rPr>
                <w:rFonts w:cs="Arial"/>
                <w:color w:val="17365D" w:themeColor="text2" w:themeShade="BF"/>
              </w:rPr>
              <w:t>Maximum statutory redundancy payment and basic award</w:t>
            </w:r>
          </w:p>
        </w:tc>
        <w:tc>
          <w:tcPr>
            <w:tcW w:w="4536" w:type="dxa"/>
            <w:shd w:val="clear" w:color="auto" w:fill="auto"/>
          </w:tcPr>
          <w:p w:rsidR="00F90541" w:rsidRPr="00FD7D4C" w:rsidRDefault="00F90541" w:rsidP="001F0D0C">
            <w:pPr>
              <w:spacing w:line="240" w:lineRule="auto"/>
              <w:ind w:right="43"/>
              <w:jc w:val="center"/>
              <w:rPr>
                <w:rFonts w:cs="Arial"/>
                <w:b/>
                <w:color w:val="17365D" w:themeColor="text2" w:themeShade="BF"/>
              </w:rPr>
            </w:pPr>
            <w:r w:rsidRPr="00FD7D4C">
              <w:rPr>
                <w:rFonts w:cs="Arial"/>
                <w:b/>
                <w:color w:val="17365D" w:themeColor="text2" w:themeShade="BF"/>
              </w:rPr>
              <w:t>£14,670</w:t>
            </w:r>
          </w:p>
        </w:tc>
      </w:tr>
    </w:tbl>
    <w:p w:rsidR="00F90541" w:rsidRDefault="00F90541" w:rsidP="00F90541">
      <w:pPr>
        <w:spacing w:after="0" w:line="240" w:lineRule="auto"/>
        <w:ind w:left="-567" w:right="45"/>
        <w:rPr>
          <w:rFonts w:cs="Arial"/>
        </w:rPr>
      </w:pPr>
    </w:p>
    <w:p w:rsidR="00F90541" w:rsidRDefault="00F90541" w:rsidP="00F90541">
      <w:pPr>
        <w:spacing w:after="0" w:line="240" w:lineRule="auto"/>
        <w:ind w:left="-567" w:right="45"/>
        <w:rPr>
          <w:b/>
          <w:color w:val="244061" w:themeColor="accent1" w:themeShade="80"/>
        </w:rPr>
      </w:pPr>
      <w:r w:rsidRPr="00FD7D4C">
        <w:rPr>
          <w:rFonts w:cs="Arial"/>
        </w:rPr>
        <w:t>Awards for discrimination claims have no maximum limit.</w:t>
      </w:r>
      <w:r w:rsidRPr="00C40812">
        <w:rPr>
          <w:b/>
          <w:noProof/>
          <w:color w:val="17365D"/>
          <w:sz w:val="36"/>
          <w:szCs w:val="36"/>
        </w:rPr>
        <w:t xml:space="preserve"> </w:t>
      </w:r>
    </w:p>
    <w:p w:rsidR="00F90541" w:rsidRDefault="00F90541" w:rsidP="00F90541">
      <w:pPr>
        <w:spacing w:after="0" w:line="240" w:lineRule="auto"/>
        <w:ind w:left="-567" w:right="45"/>
        <w:jc w:val="both"/>
        <w:rPr>
          <w:b/>
          <w:color w:val="244061" w:themeColor="accent1" w:themeShade="80"/>
        </w:rPr>
      </w:pPr>
    </w:p>
    <w:p w:rsidR="00F90541" w:rsidRDefault="00F90541" w:rsidP="00F90541">
      <w:pPr>
        <w:spacing w:after="0" w:line="240" w:lineRule="auto"/>
        <w:ind w:left="-567" w:right="45"/>
        <w:jc w:val="both"/>
        <w:rPr>
          <w:b/>
          <w:color w:val="244061" w:themeColor="accent1" w:themeShade="80"/>
          <w:sz w:val="24"/>
          <w:szCs w:val="24"/>
        </w:rPr>
      </w:pPr>
      <w:r w:rsidRPr="00A66FAD">
        <w:rPr>
          <w:b/>
          <w:color w:val="244061" w:themeColor="accent1" w:themeShade="80"/>
          <w:sz w:val="24"/>
          <w:szCs w:val="24"/>
        </w:rPr>
        <w:t>Maternity and Paternity Pay</w:t>
      </w:r>
    </w:p>
    <w:p w:rsidR="00EB5AD6" w:rsidRPr="007C45C9" w:rsidRDefault="00EB5AD6" w:rsidP="00F90541">
      <w:pPr>
        <w:spacing w:after="0" w:line="240" w:lineRule="auto"/>
        <w:ind w:left="-567" w:right="45"/>
        <w:jc w:val="both"/>
        <w:rPr>
          <w:b/>
          <w:color w:val="244061" w:themeColor="accent1" w:themeShade="80"/>
        </w:rPr>
      </w:pPr>
    </w:p>
    <w:p w:rsidR="00F90541" w:rsidRPr="00FD7D4C" w:rsidRDefault="00F90541" w:rsidP="00F90541">
      <w:pPr>
        <w:spacing w:after="0" w:line="240" w:lineRule="auto"/>
        <w:ind w:left="-567" w:right="45"/>
        <w:jc w:val="both"/>
      </w:pPr>
      <w:r w:rsidRPr="00FD7D4C">
        <w:t xml:space="preserve">Statutory Maternity Pay and Statutory Adoption Pay are payable for a period of 39 weeks.  Statutory Paternity Pay is payable for a period of two weeks following the birth.  Under the shared parental leave scheme, it is possible for parents to share up to 37 weeks of the mother’s maternity pay.  </w:t>
      </w:r>
    </w:p>
    <w:p w:rsidR="00F90541" w:rsidRDefault="00F90541" w:rsidP="00F90541">
      <w:pPr>
        <w:spacing w:after="0" w:line="240" w:lineRule="auto"/>
        <w:ind w:left="-567" w:right="45"/>
        <w:jc w:val="both"/>
      </w:pPr>
    </w:p>
    <w:p w:rsidR="00F90541" w:rsidRDefault="00F90541" w:rsidP="00F90541">
      <w:pPr>
        <w:spacing w:after="0" w:line="240" w:lineRule="auto"/>
        <w:ind w:left="-567" w:right="45"/>
        <w:jc w:val="both"/>
      </w:pPr>
      <w:r w:rsidRPr="00FD7D4C">
        <w:t>The rates are increased in April each year and from 6 April 2017 are as follows:</w:t>
      </w:r>
    </w:p>
    <w:p w:rsidR="00EB5AD6" w:rsidRDefault="00EB5AD6" w:rsidP="00F90541">
      <w:pPr>
        <w:spacing w:after="0" w:line="240" w:lineRule="auto"/>
        <w:ind w:left="-567" w:right="45"/>
        <w:jc w:val="both"/>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3544"/>
        <w:gridCol w:w="1985"/>
      </w:tblGrid>
      <w:tr w:rsidR="00F90541" w:rsidRPr="003E4393" w:rsidTr="006237FD">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90541" w:rsidRPr="003E4393" w:rsidRDefault="00F90541" w:rsidP="001F0D0C">
            <w:pPr>
              <w:pStyle w:val="NoSpacing"/>
              <w:ind w:right="43"/>
              <w:jc w:val="center"/>
              <w:rPr>
                <w:rFonts w:asciiTheme="minorHAnsi" w:hAnsiTheme="minorHAnsi"/>
                <w:b/>
                <w:color w:val="17365D" w:themeColor="text2" w:themeShade="BF"/>
                <w:sz w:val="22"/>
                <w:szCs w:val="22"/>
              </w:rPr>
            </w:pPr>
            <w:r w:rsidRPr="003E4393">
              <w:rPr>
                <w:rFonts w:asciiTheme="minorHAnsi" w:hAnsiTheme="minorHAnsi" w:cs="Arial"/>
                <w:b/>
                <w:color w:val="17365D" w:themeColor="text2" w:themeShade="BF"/>
                <w:sz w:val="22"/>
                <w:szCs w:val="22"/>
                <w:lang w:val="en-GB"/>
              </w:rPr>
              <w:t>Type of Payment</w:t>
            </w:r>
          </w:p>
        </w:tc>
        <w:tc>
          <w:tcPr>
            <w:tcW w:w="35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90541" w:rsidRPr="003E4393" w:rsidRDefault="00F90541" w:rsidP="001F0D0C">
            <w:pPr>
              <w:pStyle w:val="NoSpacing"/>
              <w:ind w:right="43"/>
              <w:jc w:val="center"/>
              <w:rPr>
                <w:rFonts w:asciiTheme="minorHAnsi" w:hAnsiTheme="minorHAnsi"/>
                <w:b/>
                <w:color w:val="17365D" w:themeColor="text2" w:themeShade="BF"/>
                <w:sz w:val="22"/>
                <w:szCs w:val="22"/>
              </w:rPr>
            </w:pPr>
            <w:r w:rsidRPr="003E4393">
              <w:rPr>
                <w:rFonts w:asciiTheme="minorHAnsi" w:hAnsiTheme="minorHAnsi"/>
                <w:b/>
                <w:color w:val="17365D" w:themeColor="text2" w:themeShade="BF"/>
                <w:sz w:val="22"/>
                <w:szCs w:val="22"/>
              </w:rPr>
              <w:t>Current Rate from 6 April 201</w:t>
            </w:r>
            <w:r>
              <w:rPr>
                <w:rFonts w:asciiTheme="minorHAnsi" w:hAnsiTheme="minorHAnsi"/>
                <w:b/>
                <w:color w:val="17365D" w:themeColor="text2" w:themeShade="BF"/>
                <w:sz w:val="22"/>
                <w:szCs w:val="22"/>
              </w:rPr>
              <w:t>7</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90541" w:rsidRDefault="00F90541" w:rsidP="001F0D0C">
            <w:pPr>
              <w:pStyle w:val="NoSpacing"/>
              <w:ind w:right="43"/>
              <w:jc w:val="center"/>
              <w:rPr>
                <w:rFonts w:asciiTheme="minorHAnsi" w:hAnsiTheme="minorHAnsi" w:cs="Arial"/>
                <w:b/>
                <w:color w:val="17365D" w:themeColor="text2" w:themeShade="BF"/>
                <w:sz w:val="22"/>
                <w:szCs w:val="22"/>
                <w:lang w:val="en-GB"/>
              </w:rPr>
            </w:pPr>
            <w:r w:rsidRPr="003E4393">
              <w:rPr>
                <w:rFonts w:asciiTheme="minorHAnsi" w:hAnsiTheme="minorHAnsi" w:cs="Arial"/>
                <w:b/>
                <w:color w:val="17365D" w:themeColor="text2" w:themeShade="BF"/>
                <w:sz w:val="22"/>
                <w:szCs w:val="22"/>
                <w:lang w:val="en-GB"/>
              </w:rPr>
              <w:t>Payment Period</w:t>
            </w:r>
          </w:p>
          <w:p w:rsidR="00EB5AD6" w:rsidRPr="003E4393" w:rsidRDefault="00EB5AD6" w:rsidP="001F0D0C">
            <w:pPr>
              <w:pStyle w:val="NoSpacing"/>
              <w:ind w:right="43"/>
              <w:jc w:val="center"/>
              <w:rPr>
                <w:rFonts w:asciiTheme="minorHAnsi" w:hAnsiTheme="minorHAnsi"/>
                <w:b/>
                <w:color w:val="17365D" w:themeColor="text2" w:themeShade="BF"/>
                <w:sz w:val="22"/>
                <w:szCs w:val="22"/>
              </w:rPr>
            </w:pPr>
          </w:p>
        </w:tc>
      </w:tr>
      <w:tr w:rsidR="00F90541" w:rsidRPr="00655244" w:rsidTr="006237FD">
        <w:tc>
          <w:tcPr>
            <w:tcW w:w="4536" w:type="dxa"/>
            <w:tcBorders>
              <w:top w:val="single" w:sz="4" w:space="0" w:color="auto"/>
              <w:left w:val="single" w:sz="4" w:space="0" w:color="auto"/>
              <w:bottom w:val="single" w:sz="4" w:space="0" w:color="auto"/>
              <w:right w:val="single" w:sz="4" w:space="0" w:color="auto"/>
            </w:tcBorders>
            <w:hideMark/>
          </w:tcPr>
          <w:p w:rsidR="00F90541" w:rsidRDefault="00F90541" w:rsidP="001F0D0C">
            <w:pPr>
              <w:spacing w:line="240" w:lineRule="auto"/>
              <w:ind w:right="43"/>
              <w:rPr>
                <w:rFonts w:cs="Arial"/>
                <w:color w:val="17365D" w:themeColor="text2" w:themeShade="BF"/>
              </w:rPr>
            </w:pPr>
            <w:r w:rsidRPr="00FD7D4C">
              <w:rPr>
                <w:rFonts w:cs="Arial"/>
                <w:color w:val="17365D" w:themeColor="text2" w:themeShade="BF"/>
              </w:rPr>
              <w:t>Statutory Maternity Pay and Statutory Adoption Pay (higher rate)</w:t>
            </w:r>
          </w:p>
          <w:p w:rsidR="00F90541" w:rsidRPr="002C6DE6" w:rsidRDefault="00F90541" w:rsidP="001F0D0C">
            <w:pPr>
              <w:pStyle w:val="NoSpacing"/>
              <w:ind w:right="43"/>
              <w:rPr>
                <w:rFonts w:asciiTheme="minorHAnsi" w:eastAsiaTheme="minorEastAsia" w:hAnsiTheme="minorHAnsi" w:cs="Arial"/>
                <w:color w:val="17365D" w:themeColor="text2" w:themeShade="BF"/>
                <w:sz w:val="22"/>
                <w:szCs w:val="22"/>
                <w:lang w:val="en-GB"/>
              </w:rPr>
            </w:pPr>
            <w:r w:rsidRPr="002C6DE6">
              <w:rPr>
                <w:rFonts w:asciiTheme="minorHAnsi" w:eastAsiaTheme="minorEastAsia" w:hAnsiTheme="minorHAnsi" w:cs="Arial"/>
                <w:color w:val="17365D" w:themeColor="text2" w:themeShade="BF"/>
                <w:sz w:val="22"/>
                <w:szCs w:val="22"/>
                <w:lang w:val="en-GB"/>
              </w:rPr>
              <w:t>Statutory Maternity Pay (basic rate)</w:t>
            </w:r>
          </w:p>
        </w:tc>
        <w:tc>
          <w:tcPr>
            <w:tcW w:w="3544" w:type="dxa"/>
            <w:tcBorders>
              <w:top w:val="single" w:sz="4" w:space="0" w:color="auto"/>
              <w:left w:val="single" w:sz="4" w:space="0" w:color="auto"/>
              <w:bottom w:val="single" w:sz="4" w:space="0" w:color="auto"/>
              <w:right w:val="single" w:sz="4" w:space="0" w:color="auto"/>
            </w:tcBorders>
            <w:hideMark/>
          </w:tcPr>
          <w:p w:rsidR="00F90541" w:rsidRDefault="00F90541" w:rsidP="001F0D0C">
            <w:pPr>
              <w:spacing w:after="0" w:line="240" w:lineRule="auto"/>
              <w:ind w:right="43"/>
              <w:jc w:val="center"/>
              <w:rPr>
                <w:rFonts w:cs="Arial"/>
                <w:color w:val="17365D" w:themeColor="text2" w:themeShade="BF"/>
              </w:rPr>
            </w:pPr>
            <w:r w:rsidRPr="00FD7D4C">
              <w:rPr>
                <w:rFonts w:cs="Arial"/>
                <w:color w:val="17365D" w:themeColor="text2" w:themeShade="BF"/>
              </w:rPr>
              <w:t xml:space="preserve">90% of normal </w:t>
            </w:r>
          </w:p>
          <w:p w:rsidR="00F90541" w:rsidRPr="00FD7D4C" w:rsidRDefault="00F90541" w:rsidP="001F0D0C">
            <w:pPr>
              <w:spacing w:line="240" w:lineRule="auto"/>
              <w:ind w:right="43"/>
              <w:jc w:val="center"/>
              <w:rPr>
                <w:rFonts w:cs="Arial"/>
                <w:color w:val="17365D" w:themeColor="text2" w:themeShade="BF"/>
              </w:rPr>
            </w:pPr>
            <w:r w:rsidRPr="00FD7D4C">
              <w:rPr>
                <w:rFonts w:cs="Arial"/>
                <w:color w:val="17365D" w:themeColor="text2" w:themeShade="BF"/>
              </w:rPr>
              <w:t>weekly earnings</w:t>
            </w:r>
          </w:p>
          <w:p w:rsidR="00F90541" w:rsidRPr="00FD7D4C" w:rsidRDefault="00F90541" w:rsidP="001F0D0C">
            <w:pPr>
              <w:spacing w:after="0" w:line="240" w:lineRule="auto"/>
              <w:ind w:right="43"/>
              <w:jc w:val="center"/>
              <w:rPr>
                <w:rFonts w:cs="Arial"/>
                <w:color w:val="17365D" w:themeColor="text2" w:themeShade="BF"/>
              </w:rPr>
            </w:pPr>
            <w:r w:rsidRPr="002C6DE6">
              <w:rPr>
                <w:rFonts w:cs="Arial"/>
                <w:color w:val="17365D" w:themeColor="text2" w:themeShade="BF"/>
              </w:rPr>
              <w:t>£140.98 per week</w:t>
            </w:r>
            <w:r w:rsidRPr="00FD7D4C">
              <w:rPr>
                <w:rFonts w:cs="Arial"/>
                <w:color w:val="17365D" w:themeColor="text2" w:themeShade="BF"/>
              </w:rPr>
              <w:t>*</w:t>
            </w:r>
          </w:p>
        </w:tc>
        <w:tc>
          <w:tcPr>
            <w:tcW w:w="1985" w:type="dxa"/>
            <w:tcBorders>
              <w:top w:val="single" w:sz="4" w:space="0" w:color="auto"/>
              <w:left w:val="single" w:sz="4" w:space="0" w:color="auto"/>
              <w:bottom w:val="single" w:sz="4" w:space="0" w:color="auto"/>
              <w:right w:val="single" w:sz="4" w:space="0" w:color="auto"/>
            </w:tcBorders>
          </w:tcPr>
          <w:p w:rsidR="00F90541" w:rsidRDefault="00F90541" w:rsidP="001F0D0C">
            <w:pPr>
              <w:spacing w:line="240" w:lineRule="auto"/>
              <w:ind w:right="43"/>
              <w:jc w:val="center"/>
              <w:rPr>
                <w:rFonts w:cs="Arial"/>
                <w:color w:val="17365D" w:themeColor="text2" w:themeShade="BF"/>
              </w:rPr>
            </w:pPr>
            <w:r w:rsidRPr="00FD7D4C">
              <w:rPr>
                <w:rFonts w:cs="Arial"/>
                <w:color w:val="17365D" w:themeColor="text2" w:themeShade="BF"/>
              </w:rPr>
              <w:t>First 6 Weeks</w:t>
            </w:r>
          </w:p>
          <w:p w:rsidR="00F90541" w:rsidRDefault="00F90541" w:rsidP="001F0D0C">
            <w:pPr>
              <w:spacing w:after="0" w:line="240" w:lineRule="auto"/>
              <w:ind w:right="43"/>
              <w:jc w:val="center"/>
              <w:rPr>
                <w:rFonts w:cs="Arial"/>
                <w:color w:val="17365D" w:themeColor="text2" w:themeShade="BF"/>
              </w:rPr>
            </w:pPr>
          </w:p>
          <w:p w:rsidR="00F90541" w:rsidRPr="00FD7D4C" w:rsidRDefault="00F90541" w:rsidP="001F0D0C">
            <w:pPr>
              <w:spacing w:line="240" w:lineRule="auto"/>
              <w:ind w:right="43"/>
              <w:jc w:val="center"/>
              <w:rPr>
                <w:rFonts w:cs="Arial"/>
                <w:color w:val="17365D" w:themeColor="text2" w:themeShade="BF"/>
              </w:rPr>
            </w:pPr>
            <w:r w:rsidRPr="00FD7D4C">
              <w:rPr>
                <w:rFonts w:cs="Arial"/>
                <w:color w:val="17365D" w:themeColor="text2" w:themeShade="BF"/>
              </w:rPr>
              <w:t>Next 33 Weeks</w:t>
            </w:r>
          </w:p>
        </w:tc>
      </w:tr>
      <w:tr w:rsidR="00F90541" w:rsidRPr="00655244" w:rsidTr="006237FD">
        <w:trPr>
          <w:trHeight w:val="70"/>
        </w:trPr>
        <w:tc>
          <w:tcPr>
            <w:tcW w:w="4536" w:type="dxa"/>
            <w:tcBorders>
              <w:top w:val="single" w:sz="4" w:space="0" w:color="auto"/>
              <w:left w:val="single" w:sz="4" w:space="0" w:color="auto"/>
              <w:bottom w:val="single" w:sz="4" w:space="0" w:color="auto"/>
              <w:right w:val="single" w:sz="4" w:space="0" w:color="auto"/>
            </w:tcBorders>
            <w:hideMark/>
          </w:tcPr>
          <w:p w:rsidR="00F90541" w:rsidRPr="00FD7D4C" w:rsidRDefault="00F90541" w:rsidP="001F0D0C">
            <w:pPr>
              <w:spacing w:line="240" w:lineRule="auto"/>
              <w:ind w:right="43"/>
              <w:rPr>
                <w:rFonts w:cs="Arial"/>
                <w:color w:val="17365D" w:themeColor="text2" w:themeShade="BF"/>
              </w:rPr>
            </w:pPr>
            <w:r w:rsidRPr="00FD7D4C">
              <w:rPr>
                <w:rFonts w:cs="Arial"/>
                <w:color w:val="17365D" w:themeColor="text2" w:themeShade="BF"/>
              </w:rPr>
              <w:t xml:space="preserve">Statutory Paternity Pay </w:t>
            </w:r>
          </w:p>
        </w:tc>
        <w:tc>
          <w:tcPr>
            <w:tcW w:w="3544" w:type="dxa"/>
            <w:tcBorders>
              <w:top w:val="single" w:sz="4" w:space="0" w:color="auto"/>
              <w:left w:val="single" w:sz="4" w:space="0" w:color="auto"/>
              <w:bottom w:val="single" w:sz="4" w:space="0" w:color="auto"/>
              <w:right w:val="single" w:sz="4" w:space="0" w:color="auto"/>
            </w:tcBorders>
            <w:hideMark/>
          </w:tcPr>
          <w:p w:rsidR="00F90541" w:rsidRPr="00FD7D4C" w:rsidRDefault="00F90541" w:rsidP="001F0D0C">
            <w:pPr>
              <w:spacing w:line="240" w:lineRule="auto"/>
              <w:ind w:right="43"/>
              <w:jc w:val="center"/>
              <w:rPr>
                <w:rFonts w:cs="Arial"/>
                <w:color w:val="17365D" w:themeColor="text2" w:themeShade="BF"/>
              </w:rPr>
            </w:pPr>
            <w:r w:rsidRPr="002C6DE6">
              <w:rPr>
                <w:rFonts w:cs="Arial"/>
                <w:color w:val="17365D" w:themeColor="text2" w:themeShade="BF"/>
              </w:rPr>
              <w:t>£140.98 per week</w:t>
            </w:r>
            <w:r w:rsidRPr="00FD7D4C">
              <w:rPr>
                <w:rFonts w:cs="Arial"/>
                <w:color w:val="17365D" w:themeColor="text2" w:themeShade="BF"/>
              </w:rPr>
              <w:t>*</w:t>
            </w:r>
          </w:p>
        </w:tc>
        <w:tc>
          <w:tcPr>
            <w:tcW w:w="1985" w:type="dxa"/>
            <w:tcBorders>
              <w:top w:val="single" w:sz="4" w:space="0" w:color="auto"/>
              <w:left w:val="single" w:sz="4" w:space="0" w:color="auto"/>
              <w:bottom w:val="single" w:sz="4" w:space="0" w:color="auto"/>
              <w:right w:val="single" w:sz="4" w:space="0" w:color="auto"/>
            </w:tcBorders>
            <w:hideMark/>
          </w:tcPr>
          <w:p w:rsidR="00F90541" w:rsidRPr="002C6DE6" w:rsidRDefault="00F90541" w:rsidP="001F0D0C">
            <w:pPr>
              <w:pStyle w:val="NoSpacing"/>
              <w:spacing w:after="200"/>
              <w:ind w:right="43"/>
              <w:jc w:val="center"/>
              <w:rPr>
                <w:rFonts w:asciiTheme="minorHAnsi" w:eastAsiaTheme="minorEastAsia" w:hAnsiTheme="minorHAnsi" w:cs="Arial"/>
                <w:color w:val="17365D" w:themeColor="text2" w:themeShade="BF"/>
                <w:sz w:val="22"/>
                <w:szCs w:val="22"/>
                <w:lang w:val="en-GB"/>
              </w:rPr>
            </w:pPr>
            <w:r w:rsidRPr="002C6DE6">
              <w:rPr>
                <w:rFonts w:asciiTheme="minorHAnsi" w:eastAsiaTheme="minorEastAsia" w:hAnsiTheme="minorHAnsi" w:cs="Arial"/>
                <w:color w:val="17365D" w:themeColor="text2" w:themeShade="BF"/>
                <w:sz w:val="22"/>
                <w:szCs w:val="22"/>
                <w:lang w:val="en-GB"/>
              </w:rPr>
              <w:t>Up to 2 Weeks</w:t>
            </w:r>
          </w:p>
        </w:tc>
      </w:tr>
    </w:tbl>
    <w:p w:rsidR="00F90541" w:rsidRPr="003E4393" w:rsidRDefault="00F90541" w:rsidP="00A66FAD">
      <w:pPr>
        <w:spacing w:before="240" w:after="240" w:line="240" w:lineRule="auto"/>
        <w:ind w:left="-567" w:right="45"/>
        <w:jc w:val="both"/>
        <w:rPr>
          <w:rFonts w:cs="Arial"/>
          <w:b/>
          <w:color w:val="17365D" w:themeColor="text2" w:themeShade="BF"/>
        </w:rPr>
      </w:pPr>
      <w:proofErr w:type="gramStart"/>
      <w:r w:rsidRPr="00655244">
        <w:rPr>
          <w:rFonts w:cs="Arial"/>
        </w:rPr>
        <w:t>*or 90% of normal earnings, if lower</w:t>
      </w:r>
      <w:r w:rsidRPr="003E4393">
        <w:rPr>
          <w:rFonts w:cs="Arial"/>
          <w:color w:val="17365D" w:themeColor="text2" w:themeShade="BF"/>
        </w:rPr>
        <w:t>.</w:t>
      </w:r>
      <w:proofErr w:type="gramEnd"/>
      <w:r w:rsidRPr="003E4393">
        <w:rPr>
          <w:rFonts w:cs="Arial"/>
          <w:color w:val="17365D" w:themeColor="text2" w:themeShade="BF"/>
        </w:rPr>
        <w:t xml:space="preserve">                                                                                            </w:t>
      </w:r>
    </w:p>
    <w:p w:rsidR="00EB5AD6" w:rsidRDefault="00F90541" w:rsidP="00A66FAD">
      <w:pPr>
        <w:spacing w:after="0" w:line="240" w:lineRule="auto"/>
        <w:ind w:left="-567" w:right="45"/>
        <w:jc w:val="both"/>
        <w:rPr>
          <w:b/>
          <w:color w:val="244061" w:themeColor="accent1" w:themeShade="80"/>
          <w:sz w:val="24"/>
          <w:szCs w:val="24"/>
        </w:rPr>
      </w:pPr>
      <w:r w:rsidRPr="00A66FAD">
        <w:rPr>
          <w:b/>
          <w:color w:val="244061" w:themeColor="accent1" w:themeShade="80"/>
          <w:sz w:val="24"/>
          <w:szCs w:val="24"/>
        </w:rPr>
        <w:t>Statutory Sick Pay</w:t>
      </w:r>
    </w:p>
    <w:p w:rsidR="00F90541" w:rsidRDefault="00F90541" w:rsidP="00A66FAD">
      <w:pPr>
        <w:spacing w:after="0" w:line="240" w:lineRule="auto"/>
        <w:ind w:left="-567" w:right="45"/>
        <w:jc w:val="both"/>
        <w:rPr>
          <w:b/>
          <w:color w:val="244061" w:themeColor="accent1" w:themeShade="80"/>
          <w:sz w:val="24"/>
          <w:szCs w:val="24"/>
        </w:rPr>
      </w:pPr>
      <w:r w:rsidRPr="00A66FAD">
        <w:rPr>
          <w:b/>
          <w:color w:val="244061" w:themeColor="accent1" w:themeShade="80"/>
          <w:sz w:val="24"/>
          <w:szCs w:val="24"/>
        </w:rPr>
        <w:t xml:space="preserve">   </w:t>
      </w:r>
    </w:p>
    <w:p w:rsidR="006A428A" w:rsidRDefault="00F90541" w:rsidP="001F0D0C">
      <w:pPr>
        <w:spacing w:after="240" w:line="240" w:lineRule="auto"/>
        <w:ind w:left="-567" w:right="43"/>
        <w:jc w:val="both"/>
      </w:pPr>
      <w:r w:rsidRPr="00655244">
        <w:t xml:space="preserve">Statutory Sick Pay is payable if an employee is incapable of work for 4 or more consecutive days.  The entitlement starts from the 4th qualifying day up to a maximum of 28 weeks.  From 6 April 2017, the SSP rate is </w:t>
      </w:r>
      <w:r w:rsidRPr="00D908D7">
        <w:rPr>
          <w:b/>
        </w:rPr>
        <w:t>£89.35</w:t>
      </w:r>
      <w:r w:rsidRPr="00655244">
        <w:t xml:space="preserve"> per week. </w:t>
      </w:r>
    </w:p>
    <w:p w:rsidR="006A428A" w:rsidRDefault="006A428A" w:rsidP="00250068">
      <w:pPr>
        <w:spacing w:after="0" w:line="240" w:lineRule="auto"/>
        <w:ind w:left="-567" w:right="43"/>
        <w:jc w:val="both"/>
        <w:outlineLvl w:val="0"/>
      </w:pPr>
    </w:p>
    <w:p w:rsidR="00EB5AD6" w:rsidRDefault="00EB5AD6" w:rsidP="00250068">
      <w:pPr>
        <w:spacing w:after="0" w:line="240" w:lineRule="auto"/>
        <w:ind w:left="-567" w:right="43"/>
        <w:jc w:val="both"/>
        <w:outlineLvl w:val="0"/>
      </w:pPr>
    </w:p>
    <w:p w:rsidR="00EB5AD6" w:rsidRDefault="00EB5AD6" w:rsidP="00250068">
      <w:pPr>
        <w:spacing w:after="0" w:line="240" w:lineRule="auto"/>
        <w:ind w:left="-567" w:right="43"/>
        <w:jc w:val="both"/>
        <w:outlineLvl w:val="0"/>
      </w:pPr>
    </w:p>
    <w:p w:rsidR="00EB5AD6" w:rsidRDefault="00EB5AD6" w:rsidP="00250068">
      <w:pPr>
        <w:spacing w:after="0" w:line="240" w:lineRule="auto"/>
        <w:ind w:left="-567" w:right="43"/>
        <w:jc w:val="both"/>
        <w:outlineLvl w:val="0"/>
      </w:pPr>
    </w:p>
    <w:p w:rsidR="00077E3B" w:rsidRDefault="00077E3B" w:rsidP="00077E3B">
      <w:pPr>
        <w:spacing w:after="0" w:line="240" w:lineRule="auto"/>
        <w:ind w:left="-567" w:right="-471"/>
        <w:jc w:val="both"/>
        <w:outlineLvl w:val="0"/>
        <w:rPr>
          <w:b/>
          <w:color w:val="17365D"/>
          <w:sz w:val="20"/>
          <w:szCs w:val="20"/>
        </w:rPr>
      </w:pPr>
    </w:p>
    <w:p w:rsidR="00077E3B" w:rsidRPr="007B07E9" w:rsidRDefault="00077E3B" w:rsidP="00077E3B">
      <w:pPr>
        <w:spacing w:after="0" w:line="240" w:lineRule="auto"/>
        <w:ind w:left="-567" w:right="43"/>
        <w:jc w:val="both"/>
        <w:outlineLvl w:val="0"/>
        <w:rPr>
          <w:b/>
          <w:color w:val="17365D"/>
          <w:sz w:val="20"/>
          <w:szCs w:val="20"/>
        </w:rPr>
      </w:pPr>
      <w:r w:rsidRPr="007B07E9">
        <w:rPr>
          <w:b/>
          <w:color w:val="17365D"/>
          <w:sz w:val="20"/>
          <w:szCs w:val="20"/>
        </w:rPr>
        <w:t>Disclaimer</w:t>
      </w:r>
    </w:p>
    <w:p w:rsidR="00077E3B" w:rsidRPr="007B07E9" w:rsidRDefault="00077E3B" w:rsidP="00077E3B">
      <w:pPr>
        <w:spacing w:after="0" w:line="240" w:lineRule="auto"/>
        <w:ind w:left="-567" w:right="43"/>
        <w:jc w:val="both"/>
        <w:outlineLvl w:val="0"/>
        <w:rPr>
          <w:sz w:val="20"/>
          <w:szCs w:val="20"/>
        </w:rPr>
      </w:pPr>
      <w:r w:rsidRPr="007B07E9">
        <w:rPr>
          <w:sz w:val="20"/>
          <w:szCs w:val="20"/>
        </w:rPr>
        <w:t xml:space="preserve">This update is intended to provide readers with information on recent legal developments.  It should not be construed as legal advice or guidance on a particular matter.                           </w:t>
      </w:r>
    </w:p>
    <w:p w:rsidR="00250068" w:rsidRDefault="00077E3B" w:rsidP="00077E3B">
      <w:pPr>
        <w:spacing w:after="0" w:line="240" w:lineRule="auto"/>
        <w:ind w:left="-567" w:right="43"/>
        <w:jc w:val="right"/>
        <w:outlineLvl w:val="0"/>
        <w:rPr>
          <w:color w:val="17365D"/>
          <w:sz w:val="18"/>
          <w:szCs w:val="18"/>
        </w:rPr>
      </w:pPr>
      <w:r w:rsidRPr="009F7E5E">
        <w:rPr>
          <w:color w:val="17365D"/>
        </w:rPr>
        <w:t xml:space="preserve">                                  </w:t>
      </w:r>
      <w:r w:rsidRPr="007B07E9">
        <w:rPr>
          <w:color w:val="17365D"/>
          <w:sz w:val="18"/>
          <w:szCs w:val="18"/>
        </w:rPr>
        <w:t xml:space="preserve"> © GSC Solicitors LLP</w:t>
      </w:r>
    </w:p>
    <w:p w:rsidR="00250068" w:rsidRDefault="00250068">
      <w:pPr>
        <w:spacing w:after="0" w:line="240" w:lineRule="auto"/>
        <w:rPr>
          <w:color w:val="17365D"/>
          <w:sz w:val="18"/>
          <w:szCs w:val="18"/>
        </w:rPr>
      </w:pPr>
      <w:r>
        <w:rPr>
          <w:color w:val="17365D"/>
          <w:sz w:val="18"/>
          <w:szCs w:val="18"/>
        </w:rPr>
        <w:br w:type="page"/>
      </w:r>
    </w:p>
    <w:p w:rsidR="008508D2" w:rsidRDefault="008508D2" w:rsidP="00036BC2">
      <w:pPr>
        <w:shd w:val="clear" w:color="auto" w:fill="C6D9F1" w:themeFill="text2" w:themeFillTint="33"/>
        <w:spacing w:after="0" w:line="240" w:lineRule="auto"/>
        <w:ind w:left="-567" w:right="43"/>
        <w:jc w:val="center"/>
        <w:rPr>
          <w:rFonts w:cs="Arial"/>
          <w:b/>
          <w:color w:val="17365D" w:themeColor="text2" w:themeShade="BF"/>
          <w:sz w:val="24"/>
          <w:szCs w:val="24"/>
        </w:rPr>
      </w:pPr>
      <w:r w:rsidRPr="00036BC2">
        <w:rPr>
          <w:rFonts w:cs="Arial"/>
          <w:b/>
          <w:color w:val="17365D" w:themeColor="text2" w:themeShade="BF"/>
          <w:sz w:val="24"/>
          <w:szCs w:val="24"/>
          <w:shd w:val="clear" w:color="auto" w:fill="DBE5F1" w:themeFill="accent1" w:themeFillTint="33"/>
        </w:rPr>
        <w:lastRenderedPageBreak/>
        <w:t>EMPLOYMENT TEAM AT GSC SOLICITORS LLP</w:t>
      </w:r>
    </w:p>
    <w:p w:rsidR="00036BC2" w:rsidRPr="008508D2" w:rsidRDefault="00036BC2" w:rsidP="008508D2">
      <w:pPr>
        <w:spacing w:after="0" w:line="240" w:lineRule="auto"/>
        <w:ind w:left="-567" w:right="43"/>
        <w:jc w:val="center"/>
        <w:rPr>
          <w:rFonts w:cs="Arial"/>
          <w:b/>
          <w:color w:val="17365D" w:themeColor="text2" w:themeShade="BF"/>
          <w:sz w:val="24"/>
          <w:szCs w:val="24"/>
        </w:rPr>
      </w:pPr>
    </w:p>
    <w:p w:rsidR="008508D2" w:rsidRPr="00036BC2" w:rsidRDefault="008508D2" w:rsidP="008508D2">
      <w:pPr>
        <w:spacing w:after="0" w:line="240" w:lineRule="auto"/>
        <w:ind w:left="-567" w:right="43"/>
        <w:jc w:val="both"/>
        <w:rPr>
          <w:rFonts w:cs="Arial"/>
          <w:color w:val="17365D" w:themeColor="text2" w:themeShade="BF"/>
          <w:sz w:val="21"/>
          <w:szCs w:val="21"/>
        </w:rPr>
      </w:pPr>
      <w:r w:rsidRPr="00036BC2">
        <w:rPr>
          <w:rFonts w:cs="Arial"/>
          <w:color w:val="17365D" w:themeColor="text2" w:themeShade="BF"/>
          <w:sz w:val="21"/>
          <w:szCs w:val="21"/>
        </w:rPr>
        <w:t>Members of the employment team are: Tessa Fry (Partner), David Nathan (Partner), Ross Waldram (Solicitor) and Mark Richardson (Solicitor).</w:t>
      </w:r>
    </w:p>
    <w:p w:rsidR="008508D2" w:rsidRPr="00036BC2" w:rsidRDefault="008508D2" w:rsidP="008508D2">
      <w:pPr>
        <w:spacing w:after="0" w:line="240" w:lineRule="auto"/>
        <w:ind w:left="-567" w:right="43"/>
        <w:jc w:val="both"/>
        <w:rPr>
          <w:rFonts w:cs="Arial"/>
          <w:color w:val="17365D" w:themeColor="text2" w:themeShade="BF"/>
          <w:sz w:val="21"/>
          <w:szCs w:val="21"/>
        </w:rPr>
      </w:pPr>
    </w:p>
    <w:p w:rsidR="008508D2" w:rsidRPr="00036BC2" w:rsidRDefault="008508D2" w:rsidP="008508D2">
      <w:pPr>
        <w:spacing w:after="0" w:line="240" w:lineRule="auto"/>
        <w:ind w:left="-567" w:right="43"/>
        <w:jc w:val="both"/>
        <w:rPr>
          <w:rFonts w:cs="Arial"/>
          <w:color w:val="17365D" w:themeColor="text2" w:themeShade="BF"/>
          <w:sz w:val="21"/>
          <w:szCs w:val="21"/>
        </w:rPr>
      </w:pPr>
      <w:r w:rsidRPr="00121A05">
        <w:rPr>
          <w:rFonts w:cs="Arial"/>
          <w:b/>
          <w:noProof/>
          <w:color w:val="17365D" w:themeColor="text2" w:themeShade="BF"/>
          <w:sz w:val="21"/>
          <w:szCs w:val="21"/>
          <w:u w:val="single"/>
        </w:rPr>
        <w:drawing>
          <wp:anchor distT="0" distB="0" distL="114300" distR="114300" simplePos="0" relativeHeight="251669504" behindDoc="1" locked="0" layoutInCell="1" allowOverlap="1" wp14:anchorId="59463791" wp14:editId="75CEA025">
            <wp:simplePos x="0" y="0"/>
            <wp:positionH relativeFrom="column">
              <wp:posOffset>-381000</wp:posOffset>
            </wp:positionH>
            <wp:positionV relativeFrom="paragraph">
              <wp:posOffset>67945</wp:posOffset>
            </wp:positionV>
            <wp:extent cx="533400" cy="569595"/>
            <wp:effectExtent l="19050" t="0" r="0" b="0"/>
            <wp:wrapTight wrapText="bothSides">
              <wp:wrapPolygon edited="0">
                <wp:start x="-771" y="0"/>
                <wp:lineTo x="-771" y="20950"/>
                <wp:lineTo x="21600" y="20950"/>
                <wp:lineTo x="21600" y="0"/>
                <wp:lineTo x="-771" y="0"/>
              </wp:wrapPolygon>
            </wp:wrapTight>
            <wp:docPr id="13" name="Picture 3" descr="Portrait of Tessa Fr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rait of Tessa Fry">
                      <a:hlinkClick r:id="rId19"/>
                    </pic:cNvPr>
                    <pic:cNvPicPr>
                      <a:picLocks noChangeAspect="1" noChangeArrowheads="1"/>
                    </pic:cNvPicPr>
                  </pic:nvPicPr>
                  <pic:blipFill>
                    <a:blip r:embed="rId20" r:link="rId21" cstate="print"/>
                    <a:srcRect/>
                    <a:stretch>
                      <a:fillRect/>
                    </a:stretch>
                  </pic:blipFill>
                  <pic:spPr bwMode="auto">
                    <a:xfrm>
                      <a:off x="0" y="0"/>
                      <a:ext cx="533400" cy="569595"/>
                    </a:xfrm>
                    <a:prstGeom prst="rect">
                      <a:avLst/>
                    </a:prstGeom>
                    <a:noFill/>
                    <a:ln w="28575">
                      <a:noFill/>
                      <a:miter lim="800000"/>
                      <a:headEnd/>
                      <a:tailEnd/>
                    </a:ln>
                  </pic:spPr>
                </pic:pic>
              </a:graphicData>
            </a:graphic>
          </wp:anchor>
        </w:drawing>
      </w:r>
      <w:r w:rsidRPr="00121A05">
        <w:rPr>
          <w:rFonts w:cs="Arial"/>
          <w:b/>
          <w:color w:val="17365D" w:themeColor="text2" w:themeShade="BF"/>
          <w:sz w:val="21"/>
          <w:szCs w:val="21"/>
          <w:u w:val="single"/>
        </w:rPr>
        <w:t>Tessa Fry</w:t>
      </w:r>
      <w:r w:rsidRPr="00036BC2">
        <w:rPr>
          <w:rFonts w:cs="Arial"/>
          <w:color w:val="17365D" w:themeColor="text2" w:themeShade="BF"/>
          <w:sz w:val="21"/>
          <w:szCs w:val="21"/>
        </w:rPr>
        <w:t xml:space="preserve"> is Head of GSC’s employment team.  She has practiced as a solicitor since 1989 and joined GSC in 2005.  Tessa specialises in employment law and business immigration.</w:t>
      </w:r>
    </w:p>
    <w:p w:rsidR="008508D2" w:rsidRPr="00036BC2" w:rsidRDefault="008508D2" w:rsidP="008508D2">
      <w:pPr>
        <w:spacing w:after="0" w:line="240" w:lineRule="auto"/>
        <w:ind w:left="-567" w:right="43"/>
        <w:jc w:val="both"/>
        <w:rPr>
          <w:rFonts w:cs="Arial"/>
          <w:color w:val="17365D" w:themeColor="text2" w:themeShade="BF"/>
          <w:sz w:val="21"/>
          <w:szCs w:val="21"/>
        </w:rPr>
      </w:pPr>
    </w:p>
    <w:p w:rsidR="008508D2" w:rsidRPr="00036BC2" w:rsidRDefault="008508D2" w:rsidP="008508D2">
      <w:pPr>
        <w:spacing w:after="0" w:line="240" w:lineRule="auto"/>
        <w:ind w:left="-567" w:right="43"/>
        <w:jc w:val="both"/>
        <w:rPr>
          <w:rFonts w:cs="Arial"/>
          <w:color w:val="17365D" w:themeColor="text2" w:themeShade="BF"/>
          <w:sz w:val="21"/>
          <w:szCs w:val="21"/>
        </w:rPr>
      </w:pPr>
      <w:r w:rsidRPr="00036BC2">
        <w:rPr>
          <w:rFonts w:cs="Arial"/>
          <w:color w:val="17365D" w:themeColor="text2" w:themeShade="BF"/>
          <w:sz w:val="21"/>
          <w:szCs w:val="21"/>
        </w:rPr>
        <w:t xml:space="preserve">Tessa has considerable experience in advising companies (ranging from multi-nationals to SMEs) and individuals on all aspects of employment law from appointment to dismissal and employment tribunal proceedings.  This includes employment contracts, termination of employment, sickness absences, </w:t>
      </w:r>
      <w:proofErr w:type="gramStart"/>
      <w:r w:rsidRPr="00036BC2">
        <w:rPr>
          <w:rFonts w:cs="Arial"/>
          <w:color w:val="17365D" w:themeColor="text2" w:themeShade="BF"/>
          <w:sz w:val="21"/>
          <w:szCs w:val="21"/>
        </w:rPr>
        <w:t>disciplinary</w:t>
      </w:r>
      <w:proofErr w:type="gramEnd"/>
      <w:r w:rsidRPr="00036BC2">
        <w:rPr>
          <w:rFonts w:cs="Arial"/>
          <w:color w:val="17365D" w:themeColor="text2" w:themeShade="BF"/>
          <w:sz w:val="21"/>
          <w:szCs w:val="21"/>
        </w:rPr>
        <w:t xml:space="preserve"> procedures, transfer of undertaking regulations, settlement agreements and family friendly policies.  She has also handled numerous employment tribunal claims relating to unfair dismissal, race, sex, disability and age discrimination, unlawful deduction of wages and appeals to the Employment Appeal Tribunal.</w:t>
      </w:r>
    </w:p>
    <w:p w:rsidR="008508D2" w:rsidRPr="00036BC2" w:rsidRDefault="008508D2" w:rsidP="008508D2">
      <w:pPr>
        <w:spacing w:after="0" w:line="240" w:lineRule="auto"/>
        <w:ind w:left="-567" w:right="43"/>
        <w:jc w:val="both"/>
        <w:rPr>
          <w:rFonts w:cs="Arial"/>
          <w:color w:val="17365D" w:themeColor="text2" w:themeShade="BF"/>
          <w:sz w:val="21"/>
          <w:szCs w:val="21"/>
        </w:rPr>
      </w:pPr>
    </w:p>
    <w:p w:rsidR="008508D2" w:rsidRPr="00036BC2" w:rsidRDefault="008508D2" w:rsidP="008508D2">
      <w:pPr>
        <w:spacing w:after="0" w:line="240" w:lineRule="auto"/>
        <w:ind w:left="-567" w:right="43"/>
        <w:jc w:val="both"/>
        <w:rPr>
          <w:rFonts w:cs="Arial"/>
          <w:color w:val="17365D" w:themeColor="text2" w:themeShade="BF"/>
          <w:sz w:val="21"/>
          <w:szCs w:val="21"/>
        </w:rPr>
      </w:pPr>
      <w:r w:rsidRPr="00036BC2">
        <w:rPr>
          <w:rFonts w:cs="Arial"/>
          <w:color w:val="17365D" w:themeColor="text2" w:themeShade="BF"/>
          <w:sz w:val="21"/>
          <w:szCs w:val="21"/>
        </w:rPr>
        <w:t>Tessa has represented clients in various High Court actions for breach of contract including injunctions to enforce restrictive covenants, actions for breach of copyright and confidentiality and claims for non-payment of bonuses.</w:t>
      </w:r>
    </w:p>
    <w:p w:rsidR="00DA59FA" w:rsidRDefault="00DA59FA" w:rsidP="002C1FBB">
      <w:pPr>
        <w:spacing w:after="0" w:line="240" w:lineRule="auto"/>
        <w:ind w:left="-567" w:right="43"/>
        <w:jc w:val="both"/>
        <w:rPr>
          <w:rFonts w:cs="Arial"/>
          <w:color w:val="17365D" w:themeColor="text2" w:themeShade="BF"/>
          <w:sz w:val="21"/>
          <w:szCs w:val="21"/>
        </w:rPr>
      </w:pPr>
    </w:p>
    <w:p w:rsidR="002C1FBB" w:rsidRPr="002C1FBB" w:rsidRDefault="008508D2" w:rsidP="002C1FBB">
      <w:pPr>
        <w:spacing w:after="0" w:line="240" w:lineRule="auto"/>
        <w:ind w:left="-567" w:right="43"/>
        <w:jc w:val="both"/>
        <w:rPr>
          <w:rFonts w:cs="Arial"/>
          <w:color w:val="17365D" w:themeColor="text2" w:themeShade="BF"/>
          <w:sz w:val="21"/>
          <w:szCs w:val="21"/>
        </w:rPr>
      </w:pPr>
      <w:r w:rsidRPr="00036BC2">
        <w:rPr>
          <w:rFonts w:cs="Arial"/>
          <w:color w:val="17365D" w:themeColor="text2" w:themeShade="BF"/>
          <w:sz w:val="21"/>
          <w:szCs w:val="21"/>
        </w:rPr>
        <w:t xml:space="preserve">Tessa has also lectured on employment law and related topics, most recently in an international webinar on the ‘legal aspects of executive coaching’ for the ACEC.  Publications include articles in the Guardian online, People Management, Reward, the Recruiter and Corporate International.  The Guardian online article on equal pay can be found at: </w:t>
      </w:r>
      <w:hyperlink r:id="rId22" w:history="1">
        <w:r w:rsidRPr="00DA59FA">
          <w:rPr>
            <w:rFonts w:cs="Arial"/>
            <w:color w:val="17365D" w:themeColor="text2" w:themeShade="BF"/>
          </w:rPr>
          <w:t>http://www.theguardian.com/women-in-leadership/women-leadership-blog/2014/jan/24/equal-pay-case-birmingham-city-council-fallout</w:t>
        </w:r>
      </w:hyperlink>
      <w:r w:rsidRPr="00DA59FA">
        <w:rPr>
          <w:rFonts w:cs="Arial"/>
          <w:color w:val="17365D" w:themeColor="text2" w:themeShade="BF"/>
        </w:rPr>
        <w:t xml:space="preserve">. </w:t>
      </w:r>
      <w:r w:rsidRPr="00036BC2">
        <w:rPr>
          <w:rFonts w:cs="Arial"/>
          <w:color w:val="17365D" w:themeColor="text2" w:themeShade="BF"/>
          <w:sz w:val="21"/>
          <w:szCs w:val="21"/>
        </w:rPr>
        <w:t xml:space="preserve"> Media work includes </w:t>
      </w:r>
      <w:r w:rsidR="002C1FBB">
        <w:rPr>
          <w:rFonts w:cs="Arial"/>
          <w:color w:val="17365D" w:themeColor="text2" w:themeShade="BF"/>
          <w:sz w:val="21"/>
          <w:szCs w:val="21"/>
        </w:rPr>
        <w:t>3</w:t>
      </w:r>
      <w:r w:rsidRPr="00036BC2">
        <w:rPr>
          <w:rFonts w:cs="Arial"/>
          <w:color w:val="17365D" w:themeColor="text2" w:themeShade="BF"/>
          <w:sz w:val="21"/>
          <w:szCs w:val="21"/>
        </w:rPr>
        <w:t xml:space="preserve"> interview</w:t>
      </w:r>
      <w:r w:rsidR="002C1FBB">
        <w:rPr>
          <w:rFonts w:cs="Arial"/>
          <w:color w:val="17365D" w:themeColor="text2" w:themeShade="BF"/>
          <w:sz w:val="21"/>
          <w:szCs w:val="21"/>
        </w:rPr>
        <w:t>s</w:t>
      </w:r>
      <w:r w:rsidRPr="00036BC2">
        <w:rPr>
          <w:rFonts w:cs="Arial"/>
          <w:color w:val="17365D" w:themeColor="text2" w:themeShade="BF"/>
          <w:sz w:val="21"/>
          <w:szCs w:val="21"/>
        </w:rPr>
        <w:t xml:space="preserve"> on </w:t>
      </w:r>
      <w:r w:rsidR="002C1FBB">
        <w:rPr>
          <w:rFonts w:cs="Arial"/>
          <w:color w:val="17365D" w:themeColor="text2" w:themeShade="BF"/>
          <w:sz w:val="21"/>
          <w:szCs w:val="21"/>
        </w:rPr>
        <w:t>the Workplace at Resonance FM</w:t>
      </w:r>
      <w:r w:rsidRPr="00036BC2">
        <w:rPr>
          <w:rFonts w:cs="Arial"/>
          <w:color w:val="17365D" w:themeColor="text2" w:themeShade="BF"/>
          <w:sz w:val="21"/>
          <w:szCs w:val="21"/>
        </w:rPr>
        <w:t>.  The</w:t>
      </w:r>
      <w:r w:rsidR="002C1FBB">
        <w:rPr>
          <w:rFonts w:cs="Arial"/>
          <w:color w:val="17365D" w:themeColor="text2" w:themeShade="BF"/>
          <w:sz w:val="21"/>
          <w:szCs w:val="21"/>
        </w:rPr>
        <w:t xml:space="preserve"> latest</w:t>
      </w:r>
      <w:r w:rsidRPr="00036BC2">
        <w:rPr>
          <w:rFonts w:cs="Arial"/>
          <w:color w:val="17365D" w:themeColor="text2" w:themeShade="BF"/>
          <w:sz w:val="21"/>
          <w:szCs w:val="21"/>
        </w:rPr>
        <w:t xml:space="preserve"> interview can be found at: </w:t>
      </w:r>
      <w:hyperlink r:id="rId23" w:history="1">
        <w:r w:rsidR="002C1FBB" w:rsidRPr="002C1FBB">
          <w:rPr>
            <w:rFonts w:cs="Arial"/>
            <w:color w:val="17365D" w:themeColor="text2" w:themeShade="BF"/>
            <w:sz w:val="21"/>
            <w:szCs w:val="21"/>
          </w:rPr>
          <w:t>https://www.mixcloud.com/Resonance/the-workplace-9th-february-2017/</w:t>
        </w:r>
      </w:hyperlink>
    </w:p>
    <w:p w:rsidR="008508D2" w:rsidRPr="00036BC2" w:rsidRDefault="008508D2" w:rsidP="008508D2">
      <w:pPr>
        <w:spacing w:after="0" w:line="240" w:lineRule="auto"/>
        <w:ind w:left="-567" w:right="43"/>
        <w:jc w:val="both"/>
        <w:rPr>
          <w:rFonts w:cs="Arial"/>
          <w:color w:val="17365D" w:themeColor="text2" w:themeShade="BF"/>
          <w:sz w:val="21"/>
          <w:szCs w:val="21"/>
        </w:rPr>
      </w:pPr>
    </w:p>
    <w:p w:rsidR="008508D2" w:rsidRPr="00036BC2" w:rsidRDefault="008508D2" w:rsidP="008508D2">
      <w:pPr>
        <w:spacing w:after="0" w:line="240" w:lineRule="auto"/>
        <w:ind w:left="-567" w:right="43"/>
        <w:jc w:val="both"/>
        <w:rPr>
          <w:rFonts w:cs="Arial"/>
          <w:color w:val="17365D" w:themeColor="text2" w:themeShade="BF"/>
          <w:sz w:val="21"/>
          <w:szCs w:val="21"/>
        </w:rPr>
      </w:pPr>
      <w:r w:rsidRPr="00121A05">
        <w:rPr>
          <w:rFonts w:cs="Arial"/>
          <w:b/>
          <w:noProof/>
          <w:color w:val="17365D" w:themeColor="text2" w:themeShade="BF"/>
          <w:sz w:val="21"/>
          <w:szCs w:val="21"/>
          <w:u w:val="single"/>
        </w:rPr>
        <w:drawing>
          <wp:anchor distT="0" distB="0" distL="114300" distR="114300" simplePos="0" relativeHeight="251668480" behindDoc="0" locked="0" layoutInCell="1" allowOverlap="1" wp14:anchorId="12E2AFEB" wp14:editId="1D83833E">
            <wp:simplePos x="0" y="0"/>
            <wp:positionH relativeFrom="column">
              <wp:posOffset>-342900</wp:posOffset>
            </wp:positionH>
            <wp:positionV relativeFrom="paragraph">
              <wp:posOffset>55880</wp:posOffset>
            </wp:positionV>
            <wp:extent cx="495300" cy="542290"/>
            <wp:effectExtent l="19050" t="0" r="0" b="0"/>
            <wp:wrapSquare wrapText="bothSides"/>
            <wp:docPr id="12" name="Picture 2" descr="Emp Update Pics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 Update Pics 003"/>
                    <pic:cNvPicPr>
                      <a:picLocks noChangeAspect="1" noChangeArrowheads="1"/>
                    </pic:cNvPicPr>
                  </pic:nvPicPr>
                  <pic:blipFill>
                    <a:blip r:embed="rId24" cstate="print"/>
                    <a:srcRect/>
                    <a:stretch>
                      <a:fillRect/>
                    </a:stretch>
                  </pic:blipFill>
                  <pic:spPr bwMode="auto">
                    <a:xfrm>
                      <a:off x="0" y="0"/>
                      <a:ext cx="495300" cy="542290"/>
                    </a:xfrm>
                    <a:prstGeom prst="rect">
                      <a:avLst/>
                    </a:prstGeom>
                    <a:noFill/>
                    <a:ln w="28575">
                      <a:noFill/>
                      <a:miter lim="800000"/>
                      <a:headEnd/>
                      <a:tailEnd/>
                    </a:ln>
                  </pic:spPr>
                </pic:pic>
              </a:graphicData>
            </a:graphic>
          </wp:anchor>
        </w:drawing>
      </w:r>
      <w:r w:rsidRPr="00121A05">
        <w:rPr>
          <w:rFonts w:cs="Arial"/>
          <w:b/>
          <w:color w:val="17365D" w:themeColor="text2" w:themeShade="BF"/>
          <w:sz w:val="21"/>
          <w:szCs w:val="21"/>
          <w:u w:val="single"/>
        </w:rPr>
        <w:t>David Nathan</w:t>
      </w:r>
      <w:r w:rsidRPr="00036BC2">
        <w:rPr>
          <w:rFonts w:cs="Arial"/>
          <w:color w:val="17365D" w:themeColor="text2" w:themeShade="BF"/>
          <w:sz w:val="21"/>
          <w:szCs w:val="21"/>
        </w:rPr>
        <w:t xml:space="preserve"> qualified as a solicitor in January 2001 and joined GSC in 2005.  David specialises in employment and company/commercial law and became a partner at GSC in 2013.</w:t>
      </w:r>
    </w:p>
    <w:p w:rsidR="00036BC2" w:rsidRPr="00036BC2" w:rsidRDefault="00036BC2" w:rsidP="008508D2">
      <w:pPr>
        <w:spacing w:after="0" w:line="240" w:lineRule="auto"/>
        <w:ind w:left="-567" w:right="43"/>
        <w:jc w:val="both"/>
        <w:rPr>
          <w:rFonts w:cs="Arial"/>
          <w:color w:val="17365D" w:themeColor="text2" w:themeShade="BF"/>
          <w:sz w:val="21"/>
          <w:szCs w:val="21"/>
        </w:rPr>
      </w:pPr>
    </w:p>
    <w:p w:rsidR="008508D2" w:rsidRPr="00036BC2" w:rsidRDefault="008508D2" w:rsidP="008508D2">
      <w:pPr>
        <w:spacing w:after="0" w:line="240" w:lineRule="auto"/>
        <w:ind w:left="-567" w:right="43"/>
        <w:jc w:val="both"/>
        <w:rPr>
          <w:rFonts w:cs="Arial"/>
          <w:color w:val="17365D" w:themeColor="text2" w:themeShade="BF"/>
          <w:sz w:val="21"/>
          <w:szCs w:val="21"/>
        </w:rPr>
      </w:pPr>
      <w:r w:rsidRPr="00036BC2">
        <w:rPr>
          <w:rFonts w:cs="Arial"/>
          <w:color w:val="17365D" w:themeColor="text2" w:themeShade="BF"/>
          <w:sz w:val="21"/>
          <w:szCs w:val="21"/>
        </w:rPr>
        <w:t>David advises companies and individuals on all aspects of employment law including drafting employment contracts, service agreements, staff handbooks, settlement agreements, disciplinary and grievance procedures, redundancy procedures, unfair dismissal, wrongful dismissal, discrimination claims, employee benefits and the employment law aspects of mergers and acquisitions.  David also advises on shareholders agreements and share purchase agreements.</w:t>
      </w:r>
    </w:p>
    <w:p w:rsidR="00036BC2" w:rsidRPr="00036BC2" w:rsidRDefault="00036BC2" w:rsidP="008508D2">
      <w:pPr>
        <w:spacing w:after="0" w:line="240" w:lineRule="auto"/>
        <w:ind w:left="-567" w:right="43"/>
        <w:jc w:val="both"/>
        <w:rPr>
          <w:rFonts w:cs="Arial"/>
          <w:color w:val="17365D" w:themeColor="text2" w:themeShade="BF"/>
          <w:sz w:val="21"/>
          <w:szCs w:val="21"/>
        </w:rPr>
      </w:pPr>
    </w:p>
    <w:p w:rsidR="008508D2" w:rsidRPr="00036BC2" w:rsidRDefault="008508D2" w:rsidP="008508D2">
      <w:pPr>
        <w:spacing w:after="0" w:line="240" w:lineRule="auto"/>
        <w:ind w:left="-567" w:right="43"/>
        <w:jc w:val="both"/>
        <w:rPr>
          <w:rFonts w:cs="Arial"/>
          <w:color w:val="17365D" w:themeColor="text2" w:themeShade="BF"/>
          <w:sz w:val="21"/>
          <w:szCs w:val="21"/>
        </w:rPr>
      </w:pPr>
      <w:r w:rsidRPr="00036BC2">
        <w:rPr>
          <w:rFonts w:cs="Arial"/>
          <w:color w:val="17365D" w:themeColor="text2" w:themeShade="BF"/>
          <w:sz w:val="21"/>
          <w:szCs w:val="21"/>
        </w:rPr>
        <w:t>David has represented clients in employment tribunal and employment appeal tribunal matters.</w:t>
      </w:r>
    </w:p>
    <w:p w:rsidR="008508D2" w:rsidRPr="00036BC2" w:rsidRDefault="008508D2" w:rsidP="008508D2">
      <w:pPr>
        <w:spacing w:after="0" w:line="240" w:lineRule="auto"/>
        <w:ind w:left="-567" w:right="43"/>
        <w:jc w:val="both"/>
        <w:rPr>
          <w:rFonts w:cs="Arial"/>
          <w:color w:val="17365D" w:themeColor="text2" w:themeShade="BF"/>
          <w:sz w:val="21"/>
          <w:szCs w:val="21"/>
        </w:rPr>
      </w:pPr>
    </w:p>
    <w:p w:rsidR="008508D2" w:rsidRPr="00036BC2" w:rsidRDefault="008508D2" w:rsidP="008508D2">
      <w:pPr>
        <w:spacing w:after="0" w:line="240" w:lineRule="auto"/>
        <w:ind w:left="-567" w:right="43"/>
        <w:jc w:val="both"/>
        <w:rPr>
          <w:rFonts w:cs="Arial"/>
          <w:color w:val="17365D" w:themeColor="text2" w:themeShade="BF"/>
          <w:sz w:val="21"/>
          <w:szCs w:val="21"/>
        </w:rPr>
      </w:pPr>
      <w:r w:rsidRPr="00121A05">
        <w:rPr>
          <w:rFonts w:cs="Arial"/>
          <w:b/>
          <w:noProof/>
          <w:color w:val="17365D" w:themeColor="text2" w:themeShade="BF"/>
          <w:sz w:val="21"/>
          <w:szCs w:val="21"/>
          <w:u w:val="single"/>
        </w:rPr>
        <w:drawing>
          <wp:anchor distT="0" distB="0" distL="114300" distR="114300" simplePos="0" relativeHeight="251670528" behindDoc="1" locked="0" layoutInCell="1" allowOverlap="1" wp14:anchorId="594EB631" wp14:editId="3BB05962">
            <wp:simplePos x="0" y="0"/>
            <wp:positionH relativeFrom="column">
              <wp:posOffset>-381000</wp:posOffset>
            </wp:positionH>
            <wp:positionV relativeFrom="paragraph">
              <wp:posOffset>41910</wp:posOffset>
            </wp:positionV>
            <wp:extent cx="533400" cy="600075"/>
            <wp:effectExtent l="19050" t="0" r="0" b="0"/>
            <wp:wrapSquare wrapText="bothSides"/>
            <wp:docPr id="14" name="Picture 5" descr="Emp Update Pics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p Update Pics 015"/>
                    <pic:cNvPicPr>
                      <a:picLocks noChangeAspect="1" noChangeArrowheads="1"/>
                    </pic:cNvPicPr>
                  </pic:nvPicPr>
                  <pic:blipFill>
                    <a:blip r:embed="rId25" cstate="print"/>
                    <a:srcRect/>
                    <a:stretch>
                      <a:fillRect/>
                    </a:stretch>
                  </pic:blipFill>
                  <pic:spPr bwMode="auto">
                    <a:xfrm>
                      <a:off x="0" y="0"/>
                      <a:ext cx="533400" cy="600075"/>
                    </a:xfrm>
                    <a:prstGeom prst="rect">
                      <a:avLst/>
                    </a:prstGeom>
                    <a:noFill/>
                    <a:ln w="28575">
                      <a:noFill/>
                      <a:miter lim="800000"/>
                      <a:headEnd/>
                      <a:tailEnd/>
                    </a:ln>
                  </pic:spPr>
                </pic:pic>
              </a:graphicData>
            </a:graphic>
          </wp:anchor>
        </w:drawing>
      </w:r>
      <w:r w:rsidRPr="00121A05">
        <w:rPr>
          <w:rFonts w:cs="Arial"/>
          <w:b/>
          <w:color w:val="17365D" w:themeColor="text2" w:themeShade="BF"/>
          <w:sz w:val="21"/>
          <w:szCs w:val="21"/>
          <w:u w:val="single"/>
        </w:rPr>
        <w:t>Ross Waldram</w:t>
      </w:r>
      <w:r w:rsidRPr="00036BC2">
        <w:rPr>
          <w:rFonts w:cs="Arial"/>
          <w:color w:val="17365D" w:themeColor="text2" w:themeShade="BF"/>
          <w:sz w:val="21"/>
          <w:szCs w:val="21"/>
        </w:rPr>
        <w:t xml:space="preserve"> trained at GSC and qualified as a solicitor in October 2009. Ross specialises in intellectual property as well as advising on employment law.</w:t>
      </w:r>
    </w:p>
    <w:p w:rsidR="00036BC2" w:rsidRPr="00036BC2" w:rsidRDefault="00036BC2" w:rsidP="008508D2">
      <w:pPr>
        <w:spacing w:after="0" w:line="240" w:lineRule="auto"/>
        <w:ind w:left="-567" w:right="43"/>
        <w:jc w:val="both"/>
        <w:rPr>
          <w:rFonts w:cs="Arial"/>
          <w:color w:val="17365D" w:themeColor="text2" w:themeShade="BF"/>
          <w:sz w:val="21"/>
          <w:szCs w:val="21"/>
        </w:rPr>
      </w:pPr>
    </w:p>
    <w:p w:rsidR="008508D2" w:rsidRPr="00036BC2" w:rsidRDefault="008508D2" w:rsidP="008508D2">
      <w:pPr>
        <w:spacing w:after="0" w:line="240" w:lineRule="auto"/>
        <w:ind w:left="-567" w:right="43"/>
        <w:jc w:val="both"/>
        <w:rPr>
          <w:rFonts w:cs="Arial"/>
          <w:color w:val="17365D" w:themeColor="text2" w:themeShade="BF"/>
          <w:sz w:val="21"/>
          <w:szCs w:val="21"/>
        </w:rPr>
      </w:pPr>
      <w:r w:rsidRPr="00036BC2">
        <w:rPr>
          <w:rFonts w:cs="Arial"/>
          <w:color w:val="17365D" w:themeColor="text2" w:themeShade="BF"/>
          <w:sz w:val="21"/>
          <w:szCs w:val="21"/>
        </w:rPr>
        <w:t>Ross’ employment experience includes advising companies and individuals on employment law issues, including terminations, disciplinary and grievance procedures and settlement agreements.  He also handles employment tribunal claims and has particular expertise on the protection of copyright/intellectual property within the employment relationship.</w:t>
      </w:r>
    </w:p>
    <w:p w:rsidR="008508D2" w:rsidRPr="00036BC2" w:rsidRDefault="008508D2" w:rsidP="008508D2">
      <w:pPr>
        <w:spacing w:after="0" w:line="240" w:lineRule="auto"/>
        <w:ind w:left="-567" w:right="43"/>
        <w:jc w:val="both"/>
        <w:rPr>
          <w:rFonts w:cs="Arial"/>
          <w:color w:val="17365D" w:themeColor="text2" w:themeShade="BF"/>
          <w:sz w:val="21"/>
          <w:szCs w:val="21"/>
        </w:rPr>
      </w:pPr>
    </w:p>
    <w:p w:rsidR="008508D2" w:rsidRPr="00036BC2" w:rsidRDefault="008508D2" w:rsidP="008508D2">
      <w:pPr>
        <w:spacing w:after="0" w:line="240" w:lineRule="auto"/>
        <w:ind w:left="-567" w:right="43"/>
        <w:jc w:val="both"/>
        <w:rPr>
          <w:rFonts w:cs="Arial"/>
          <w:color w:val="17365D" w:themeColor="text2" w:themeShade="BF"/>
          <w:sz w:val="21"/>
          <w:szCs w:val="21"/>
        </w:rPr>
      </w:pPr>
      <w:r w:rsidRPr="00121A05">
        <w:rPr>
          <w:rFonts w:cs="Arial"/>
          <w:b/>
          <w:noProof/>
          <w:color w:val="17365D" w:themeColor="text2" w:themeShade="BF"/>
          <w:sz w:val="21"/>
          <w:szCs w:val="21"/>
          <w:u w:val="single"/>
        </w:rPr>
        <w:drawing>
          <wp:anchor distT="0" distB="0" distL="114300" distR="114300" simplePos="0" relativeHeight="251666432" behindDoc="0" locked="0" layoutInCell="1" allowOverlap="1" wp14:anchorId="7761C76F" wp14:editId="7D2CEE6C">
            <wp:simplePos x="0" y="0"/>
            <wp:positionH relativeFrom="column">
              <wp:posOffset>-381000</wp:posOffset>
            </wp:positionH>
            <wp:positionV relativeFrom="paragraph">
              <wp:posOffset>55245</wp:posOffset>
            </wp:positionV>
            <wp:extent cx="533400" cy="577850"/>
            <wp:effectExtent l="19050" t="0" r="0" b="0"/>
            <wp:wrapSquare wrapText="bothSides"/>
            <wp:docPr id="10" name="Picture 6" descr="Emp Update Pics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p Update Pics 011"/>
                    <pic:cNvPicPr>
                      <a:picLocks noChangeAspect="1" noChangeArrowheads="1"/>
                    </pic:cNvPicPr>
                  </pic:nvPicPr>
                  <pic:blipFill>
                    <a:blip r:embed="rId26" cstate="print"/>
                    <a:srcRect/>
                    <a:stretch>
                      <a:fillRect/>
                    </a:stretch>
                  </pic:blipFill>
                  <pic:spPr bwMode="auto">
                    <a:xfrm>
                      <a:off x="0" y="0"/>
                      <a:ext cx="533400" cy="577850"/>
                    </a:xfrm>
                    <a:prstGeom prst="rect">
                      <a:avLst/>
                    </a:prstGeom>
                    <a:noFill/>
                    <a:ln w="3175">
                      <a:noFill/>
                      <a:miter lim="800000"/>
                      <a:headEnd/>
                      <a:tailEnd/>
                    </a:ln>
                  </pic:spPr>
                </pic:pic>
              </a:graphicData>
            </a:graphic>
          </wp:anchor>
        </w:drawing>
      </w:r>
      <w:r w:rsidRPr="00121A05">
        <w:rPr>
          <w:rFonts w:cs="Arial"/>
          <w:b/>
          <w:color w:val="17365D" w:themeColor="text2" w:themeShade="BF"/>
          <w:sz w:val="21"/>
          <w:szCs w:val="21"/>
          <w:u w:val="single"/>
        </w:rPr>
        <w:t>Mark Richardson</w:t>
      </w:r>
      <w:r w:rsidRPr="00036BC2">
        <w:rPr>
          <w:rFonts w:cs="Arial"/>
          <w:color w:val="17365D" w:themeColor="text2" w:themeShade="BF"/>
          <w:sz w:val="21"/>
          <w:szCs w:val="21"/>
        </w:rPr>
        <w:t xml:space="preserve"> trained at GSC and qualified as a solicitor in September 2011.  Mark specialises in Intellectual Property, Litigation and Employment law.</w:t>
      </w:r>
    </w:p>
    <w:p w:rsidR="00036BC2" w:rsidRPr="00036BC2" w:rsidRDefault="00036BC2" w:rsidP="008508D2">
      <w:pPr>
        <w:spacing w:after="0" w:line="240" w:lineRule="auto"/>
        <w:ind w:left="-567" w:right="43"/>
        <w:jc w:val="both"/>
        <w:rPr>
          <w:rFonts w:cs="Arial"/>
          <w:color w:val="17365D" w:themeColor="text2" w:themeShade="BF"/>
          <w:sz w:val="21"/>
          <w:szCs w:val="21"/>
        </w:rPr>
      </w:pPr>
    </w:p>
    <w:p w:rsidR="008508D2" w:rsidRPr="00036BC2" w:rsidRDefault="008508D2" w:rsidP="008508D2">
      <w:pPr>
        <w:spacing w:after="0" w:line="240" w:lineRule="auto"/>
        <w:ind w:left="-567" w:right="43"/>
        <w:jc w:val="both"/>
        <w:rPr>
          <w:rFonts w:cs="Arial"/>
          <w:color w:val="17365D" w:themeColor="text2" w:themeShade="BF"/>
          <w:sz w:val="21"/>
          <w:szCs w:val="21"/>
        </w:rPr>
      </w:pPr>
      <w:r w:rsidRPr="00036BC2">
        <w:rPr>
          <w:rFonts w:cs="Arial"/>
          <w:color w:val="17365D" w:themeColor="text2" w:themeShade="BF"/>
          <w:sz w:val="21"/>
          <w:szCs w:val="21"/>
        </w:rPr>
        <w:t>Mark’s experience includes advising both employers and employees in respect of employment law issues such as disciplinary and grievance procedures, settlement agreements and employment contracts.  Mark has assisted in the representation of clients at employment tribunals and has experience in the preparation of tribunal documents and witness statements.</w:t>
      </w:r>
    </w:p>
    <w:p w:rsidR="00DA2D6F" w:rsidRDefault="00DA2D6F" w:rsidP="00036BC2">
      <w:pPr>
        <w:spacing w:after="0" w:line="240" w:lineRule="auto"/>
        <w:ind w:left="-567" w:right="43"/>
        <w:jc w:val="center"/>
        <w:rPr>
          <w:rFonts w:cs="Arial"/>
          <w:color w:val="17365D" w:themeColor="text2" w:themeShade="BF"/>
        </w:rPr>
      </w:pPr>
    </w:p>
    <w:p w:rsidR="008508D2" w:rsidRPr="00FD24E6" w:rsidRDefault="00DA59FA" w:rsidP="00BA72AD">
      <w:pPr>
        <w:shd w:val="clear" w:color="auto" w:fill="DBE5F1" w:themeFill="accent1" w:themeFillTint="33"/>
        <w:spacing w:after="0" w:line="240" w:lineRule="auto"/>
        <w:ind w:left="-567" w:right="43"/>
        <w:jc w:val="center"/>
        <w:rPr>
          <w:rFonts w:cs="Arial"/>
          <w:b/>
          <w:color w:val="17365D" w:themeColor="text2" w:themeShade="BF"/>
        </w:rPr>
      </w:pPr>
      <w:r>
        <w:rPr>
          <w:rFonts w:cs="Arial"/>
          <w:b/>
          <w:color w:val="17365D" w:themeColor="text2" w:themeShade="BF"/>
        </w:rPr>
        <w:t xml:space="preserve">Email </w:t>
      </w:r>
      <w:r w:rsidR="008508D2" w:rsidRPr="00FD24E6">
        <w:rPr>
          <w:rFonts w:cs="Arial"/>
          <w:b/>
          <w:color w:val="17365D" w:themeColor="text2" w:themeShade="BF"/>
        </w:rPr>
        <w:t>Details:</w:t>
      </w:r>
    </w:p>
    <w:p w:rsidR="00BA72AD" w:rsidRPr="00BA72AD" w:rsidRDefault="008508D2" w:rsidP="00BA72AD">
      <w:pPr>
        <w:shd w:val="clear" w:color="auto" w:fill="DBE5F1" w:themeFill="accent1" w:themeFillTint="33"/>
        <w:spacing w:after="0" w:line="240" w:lineRule="auto"/>
        <w:ind w:left="-567" w:right="43"/>
        <w:jc w:val="center"/>
        <w:rPr>
          <w:rFonts w:cs="Arial"/>
          <w:b/>
          <w:color w:val="17365D" w:themeColor="text2" w:themeShade="BF"/>
        </w:rPr>
      </w:pPr>
      <w:r w:rsidRPr="00BA72AD">
        <w:rPr>
          <w:rFonts w:cs="Arial"/>
          <w:b/>
          <w:color w:val="17365D" w:themeColor="text2" w:themeShade="BF"/>
        </w:rPr>
        <w:t>Tessa Fry</w:t>
      </w:r>
      <w:r w:rsidR="00DA59FA" w:rsidRPr="00BA72AD">
        <w:rPr>
          <w:rFonts w:cs="Arial"/>
          <w:b/>
          <w:color w:val="17365D" w:themeColor="text2" w:themeShade="BF"/>
        </w:rPr>
        <w:t>:</w:t>
      </w:r>
      <w:r w:rsidRPr="00BA72AD">
        <w:rPr>
          <w:rFonts w:cs="Arial"/>
          <w:b/>
          <w:color w:val="17365D" w:themeColor="text2" w:themeShade="BF"/>
        </w:rPr>
        <w:t xml:space="preserve"> tfry@gscsolicitors.com </w:t>
      </w:r>
      <w:r w:rsidR="00BA72AD">
        <w:rPr>
          <w:rFonts w:cs="Arial"/>
          <w:b/>
          <w:color w:val="17365D" w:themeColor="text2" w:themeShade="BF"/>
        </w:rPr>
        <w:t xml:space="preserve"> </w:t>
      </w:r>
      <w:r w:rsidRPr="00BA72AD">
        <w:rPr>
          <w:rFonts w:cs="Arial"/>
          <w:b/>
          <w:color w:val="17365D" w:themeColor="text2" w:themeShade="BF"/>
        </w:rPr>
        <w:t xml:space="preserve"> </w:t>
      </w:r>
      <w:r w:rsidR="00BA72AD">
        <w:rPr>
          <w:rFonts w:cs="Arial"/>
          <w:b/>
          <w:color w:val="17365D" w:themeColor="text2" w:themeShade="BF"/>
        </w:rPr>
        <w:t xml:space="preserve">-  </w:t>
      </w:r>
      <w:r w:rsidRPr="00BA72AD">
        <w:rPr>
          <w:rFonts w:cs="Arial"/>
          <w:b/>
          <w:color w:val="17365D" w:themeColor="text2" w:themeShade="BF"/>
        </w:rPr>
        <w:t xml:space="preserve"> </w:t>
      </w:r>
      <w:r w:rsidR="00DA59FA" w:rsidRPr="00BA72AD">
        <w:rPr>
          <w:rFonts w:cs="Arial"/>
          <w:b/>
          <w:color w:val="17365D" w:themeColor="text2" w:themeShade="BF"/>
        </w:rPr>
        <w:t xml:space="preserve">David Nathan: dnathan@gscsolicitors.com  </w:t>
      </w:r>
    </w:p>
    <w:p w:rsidR="004D3193" w:rsidRDefault="00DA59FA" w:rsidP="00BA72AD">
      <w:pPr>
        <w:shd w:val="clear" w:color="auto" w:fill="DBE5F1" w:themeFill="accent1" w:themeFillTint="33"/>
        <w:spacing w:after="0" w:line="240" w:lineRule="auto"/>
        <w:ind w:left="-567" w:right="43"/>
        <w:jc w:val="center"/>
        <w:rPr>
          <w:rFonts w:cs="Arial"/>
          <w:b/>
          <w:color w:val="17365D" w:themeColor="text2" w:themeShade="BF"/>
        </w:rPr>
      </w:pPr>
      <w:r w:rsidRPr="00BA72AD">
        <w:rPr>
          <w:rFonts w:cs="Arial"/>
          <w:b/>
          <w:color w:val="17365D" w:themeColor="text2" w:themeShade="BF"/>
        </w:rPr>
        <w:t>Ross Waldram: rwaldram@gscsolicitors.com</w:t>
      </w:r>
      <w:r w:rsidR="00BA72AD">
        <w:rPr>
          <w:rFonts w:cs="Arial"/>
          <w:b/>
          <w:color w:val="17365D" w:themeColor="text2" w:themeShade="BF"/>
        </w:rPr>
        <w:t xml:space="preserve">   -  </w:t>
      </w:r>
      <w:r w:rsidRPr="00BA72AD">
        <w:rPr>
          <w:rFonts w:cs="Arial"/>
          <w:b/>
          <w:color w:val="17365D" w:themeColor="text2" w:themeShade="BF"/>
        </w:rPr>
        <w:t xml:space="preserve"> Mark </w:t>
      </w:r>
      <w:r w:rsidR="00BA72AD" w:rsidRPr="00BA72AD">
        <w:rPr>
          <w:rFonts w:cs="Arial"/>
          <w:b/>
          <w:color w:val="17365D" w:themeColor="text2" w:themeShade="BF"/>
        </w:rPr>
        <w:t>Richardson: mrichardson@gscsolicitors.com</w:t>
      </w:r>
    </w:p>
    <w:p w:rsidR="00BA72AD" w:rsidRPr="00BA72AD" w:rsidRDefault="00BA72AD" w:rsidP="00BA72AD">
      <w:pPr>
        <w:shd w:val="clear" w:color="auto" w:fill="DBE5F1" w:themeFill="accent1" w:themeFillTint="33"/>
        <w:spacing w:after="0" w:line="240" w:lineRule="auto"/>
        <w:ind w:left="-567" w:right="43"/>
        <w:jc w:val="center"/>
        <w:rPr>
          <w:rFonts w:cs="Arial"/>
          <w:b/>
          <w:color w:val="17365D" w:themeColor="text2" w:themeShade="BF"/>
        </w:rPr>
      </w:pPr>
    </w:p>
    <w:sectPr w:rsidR="00BA72AD" w:rsidRPr="00BA72AD" w:rsidSect="00771085">
      <w:pgSz w:w="12240" w:h="15840"/>
      <w:pgMar w:top="568" w:right="1041" w:bottom="709"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7E9" w:rsidRDefault="007B07E9" w:rsidP="007B07E9">
      <w:pPr>
        <w:spacing w:after="0" w:line="240" w:lineRule="auto"/>
      </w:pPr>
      <w:r>
        <w:separator/>
      </w:r>
    </w:p>
  </w:endnote>
  <w:endnote w:type="continuationSeparator" w:id="0">
    <w:p w:rsidR="007B07E9" w:rsidRDefault="007B07E9" w:rsidP="007B0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7E9" w:rsidRDefault="007B07E9" w:rsidP="007B07E9">
      <w:pPr>
        <w:spacing w:after="0" w:line="240" w:lineRule="auto"/>
      </w:pPr>
      <w:r>
        <w:separator/>
      </w:r>
    </w:p>
  </w:footnote>
  <w:footnote w:type="continuationSeparator" w:id="0">
    <w:p w:rsidR="007B07E9" w:rsidRDefault="007B07E9" w:rsidP="007B07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D3E13"/>
    <w:multiLevelType w:val="hybridMultilevel"/>
    <w:tmpl w:val="50B226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nsid w:val="15145B22"/>
    <w:multiLevelType w:val="hybridMultilevel"/>
    <w:tmpl w:val="0620671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nsid w:val="326C22F6"/>
    <w:multiLevelType w:val="hybridMultilevel"/>
    <w:tmpl w:val="C19E6D9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nsid w:val="36E664FE"/>
    <w:multiLevelType w:val="hybridMultilevel"/>
    <w:tmpl w:val="01405A3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nsid w:val="381E0491"/>
    <w:multiLevelType w:val="hybridMultilevel"/>
    <w:tmpl w:val="C726915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nsid w:val="41DA0119"/>
    <w:multiLevelType w:val="hybridMultilevel"/>
    <w:tmpl w:val="35BCEEC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nsid w:val="77AE0FF8"/>
    <w:multiLevelType w:val="hybridMultilevel"/>
    <w:tmpl w:val="986E3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0"/>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593"/>
    <w:rsid w:val="00015EFE"/>
    <w:rsid w:val="00021A2F"/>
    <w:rsid w:val="00036BC2"/>
    <w:rsid w:val="0004591F"/>
    <w:rsid w:val="0005280C"/>
    <w:rsid w:val="000544BB"/>
    <w:rsid w:val="00077E3B"/>
    <w:rsid w:val="000B561C"/>
    <w:rsid w:val="000E5FF0"/>
    <w:rsid w:val="000E6E25"/>
    <w:rsid w:val="000F0C6A"/>
    <w:rsid w:val="00112F69"/>
    <w:rsid w:val="00113DA4"/>
    <w:rsid w:val="00115F4E"/>
    <w:rsid w:val="00121A05"/>
    <w:rsid w:val="00136C01"/>
    <w:rsid w:val="00140EB7"/>
    <w:rsid w:val="00145B6B"/>
    <w:rsid w:val="00155F3E"/>
    <w:rsid w:val="00156B0E"/>
    <w:rsid w:val="00177082"/>
    <w:rsid w:val="00183933"/>
    <w:rsid w:val="001E4561"/>
    <w:rsid w:val="001E6C23"/>
    <w:rsid w:val="001F0D0C"/>
    <w:rsid w:val="00202026"/>
    <w:rsid w:val="002105FF"/>
    <w:rsid w:val="00225EAB"/>
    <w:rsid w:val="00227562"/>
    <w:rsid w:val="00250068"/>
    <w:rsid w:val="00251A63"/>
    <w:rsid w:val="00252536"/>
    <w:rsid w:val="00257066"/>
    <w:rsid w:val="0026573A"/>
    <w:rsid w:val="00274BC6"/>
    <w:rsid w:val="002B0187"/>
    <w:rsid w:val="002B4340"/>
    <w:rsid w:val="002C1FBB"/>
    <w:rsid w:val="002C2BF7"/>
    <w:rsid w:val="002C3B3E"/>
    <w:rsid w:val="002C4492"/>
    <w:rsid w:val="002C4EE5"/>
    <w:rsid w:val="002C6DE6"/>
    <w:rsid w:val="002E1940"/>
    <w:rsid w:val="0030117B"/>
    <w:rsid w:val="003133E0"/>
    <w:rsid w:val="00322D1D"/>
    <w:rsid w:val="003279C4"/>
    <w:rsid w:val="00344BA3"/>
    <w:rsid w:val="0037354D"/>
    <w:rsid w:val="003761D1"/>
    <w:rsid w:val="003B2F23"/>
    <w:rsid w:val="003B6485"/>
    <w:rsid w:val="003E35E3"/>
    <w:rsid w:val="003E4393"/>
    <w:rsid w:val="003E5583"/>
    <w:rsid w:val="003E7922"/>
    <w:rsid w:val="003F02FC"/>
    <w:rsid w:val="003F50A9"/>
    <w:rsid w:val="00405593"/>
    <w:rsid w:val="00412689"/>
    <w:rsid w:val="00435F41"/>
    <w:rsid w:val="00437935"/>
    <w:rsid w:val="00437D9C"/>
    <w:rsid w:val="004452AA"/>
    <w:rsid w:val="00452EB3"/>
    <w:rsid w:val="0046092C"/>
    <w:rsid w:val="0046135F"/>
    <w:rsid w:val="00467C35"/>
    <w:rsid w:val="004701A9"/>
    <w:rsid w:val="00480FF7"/>
    <w:rsid w:val="00485814"/>
    <w:rsid w:val="00485F3F"/>
    <w:rsid w:val="0049329D"/>
    <w:rsid w:val="004A4023"/>
    <w:rsid w:val="004B022E"/>
    <w:rsid w:val="004C0526"/>
    <w:rsid w:val="004D3193"/>
    <w:rsid w:val="004F3CCD"/>
    <w:rsid w:val="004F7FB2"/>
    <w:rsid w:val="00507500"/>
    <w:rsid w:val="005268DC"/>
    <w:rsid w:val="0052787C"/>
    <w:rsid w:val="0053302B"/>
    <w:rsid w:val="00537B4F"/>
    <w:rsid w:val="00556CFD"/>
    <w:rsid w:val="00556D02"/>
    <w:rsid w:val="00584218"/>
    <w:rsid w:val="005976BB"/>
    <w:rsid w:val="005A1F1D"/>
    <w:rsid w:val="005D4CF5"/>
    <w:rsid w:val="006117AB"/>
    <w:rsid w:val="00635575"/>
    <w:rsid w:val="006378E2"/>
    <w:rsid w:val="00644159"/>
    <w:rsid w:val="006479E1"/>
    <w:rsid w:val="00653AB5"/>
    <w:rsid w:val="00653F00"/>
    <w:rsid w:val="00655244"/>
    <w:rsid w:val="00657065"/>
    <w:rsid w:val="00660AD5"/>
    <w:rsid w:val="00667C6B"/>
    <w:rsid w:val="00667F50"/>
    <w:rsid w:val="00685711"/>
    <w:rsid w:val="006A428A"/>
    <w:rsid w:val="006B1476"/>
    <w:rsid w:val="006D1D44"/>
    <w:rsid w:val="006F19EA"/>
    <w:rsid w:val="006F48CB"/>
    <w:rsid w:val="006F493D"/>
    <w:rsid w:val="00722250"/>
    <w:rsid w:val="00733337"/>
    <w:rsid w:val="00737A24"/>
    <w:rsid w:val="00762D26"/>
    <w:rsid w:val="007701B1"/>
    <w:rsid w:val="00770255"/>
    <w:rsid w:val="00771085"/>
    <w:rsid w:val="007955FF"/>
    <w:rsid w:val="00796115"/>
    <w:rsid w:val="00797F2D"/>
    <w:rsid w:val="007B07E9"/>
    <w:rsid w:val="007B2A78"/>
    <w:rsid w:val="007B2FA2"/>
    <w:rsid w:val="007B3EC5"/>
    <w:rsid w:val="007C0425"/>
    <w:rsid w:val="007C45C9"/>
    <w:rsid w:val="007D42B8"/>
    <w:rsid w:val="007E14D4"/>
    <w:rsid w:val="007F7135"/>
    <w:rsid w:val="00821CCD"/>
    <w:rsid w:val="00822507"/>
    <w:rsid w:val="008504A5"/>
    <w:rsid w:val="008508D2"/>
    <w:rsid w:val="00854D0C"/>
    <w:rsid w:val="00885A87"/>
    <w:rsid w:val="008916BE"/>
    <w:rsid w:val="00891D46"/>
    <w:rsid w:val="00891E74"/>
    <w:rsid w:val="0089418F"/>
    <w:rsid w:val="00897018"/>
    <w:rsid w:val="009068F2"/>
    <w:rsid w:val="0091792C"/>
    <w:rsid w:val="009215AC"/>
    <w:rsid w:val="00923C8D"/>
    <w:rsid w:val="00931046"/>
    <w:rsid w:val="00950313"/>
    <w:rsid w:val="0098317E"/>
    <w:rsid w:val="009861F3"/>
    <w:rsid w:val="00995CE8"/>
    <w:rsid w:val="009975CA"/>
    <w:rsid w:val="009A3B41"/>
    <w:rsid w:val="009C6085"/>
    <w:rsid w:val="009E5416"/>
    <w:rsid w:val="009E6998"/>
    <w:rsid w:val="009E6FF6"/>
    <w:rsid w:val="009F6F7F"/>
    <w:rsid w:val="00A01C0C"/>
    <w:rsid w:val="00A22BD5"/>
    <w:rsid w:val="00A334DD"/>
    <w:rsid w:val="00A453DC"/>
    <w:rsid w:val="00A47BD7"/>
    <w:rsid w:val="00A50807"/>
    <w:rsid w:val="00A521C3"/>
    <w:rsid w:val="00A5282B"/>
    <w:rsid w:val="00A53F16"/>
    <w:rsid w:val="00A54BCE"/>
    <w:rsid w:val="00A66FAD"/>
    <w:rsid w:val="00A72028"/>
    <w:rsid w:val="00A85346"/>
    <w:rsid w:val="00A930F2"/>
    <w:rsid w:val="00AE664C"/>
    <w:rsid w:val="00B132B7"/>
    <w:rsid w:val="00B1598E"/>
    <w:rsid w:val="00B3414D"/>
    <w:rsid w:val="00BA72AD"/>
    <w:rsid w:val="00BB2B0E"/>
    <w:rsid w:val="00BB625B"/>
    <w:rsid w:val="00BC0C26"/>
    <w:rsid w:val="00BC5CCA"/>
    <w:rsid w:val="00BE5360"/>
    <w:rsid w:val="00C0339B"/>
    <w:rsid w:val="00C13954"/>
    <w:rsid w:val="00C40812"/>
    <w:rsid w:val="00C433A2"/>
    <w:rsid w:val="00C4563C"/>
    <w:rsid w:val="00C75B1E"/>
    <w:rsid w:val="00C918CF"/>
    <w:rsid w:val="00C93224"/>
    <w:rsid w:val="00CA050A"/>
    <w:rsid w:val="00CA7A4D"/>
    <w:rsid w:val="00CB5829"/>
    <w:rsid w:val="00CD2489"/>
    <w:rsid w:val="00D02C02"/>
    <w:rsid w:val="00D03154"/>
    <w:rsid w:val="00D04B6E"/>
    <w:rsid w:val="00D17BBC"/>
    <w:rsid w:val="00D20A28"/>
    <w:rsid w:val="00D20B48"/>
    <w:rsid w:val="00D24EE8"/>
    <w:rsid w:val="00D42A71"/>
    <w:rsid w:val="00D46067"/>
    <w:rsid w:val="00D5786D"/>
    <w:rsid w:val="00D62D64"/>
    <w:rsid w:val="00D63022"/>
    <w:rsid w:val="00D65D91"/>
    <w:rsid w:val="00D74B40"/>
    <w:rsid w:val="00D76343"/>
    <w:rsid w:val="00D84A01"/>
    <w:rsid w:val="00D908D7"/>
    <w:rsid w:val="00D9330D"/>
    <w:rsid w:val="00DA2D6F"/>
    <w:rsid w:val="00DA59FA"/>
    <w:rsid w:val="00DA6700"/>
    <w:rsid w:val="00DB76F2"/>
    <w:rsid w:val="00DD70B3"/>
    <w:rsid w:val="00DE2122"/>
    <w:rsid w:val="00DE22ED"/>
    <w:rsid w:val="00DE64AC"/>
    <w:rsid w:val="00DF4895"/>
    <w:rsid w:val="00E03D3A"/>
    <w:rsid w:val="00E04175"/>
    <w:rsid w:val="00E24EB5"/>
    <w:rsid w:val="00E661F6"/>
    <w:rsid w:val="00E71948"/>
    <w:rsid w:val="00E7661B"/>
    <w:rsid w:val="00E805B3"/>
    <w:rsid w:val="00E96FB6"/>
    <w:rsid w:val="00EA58B8"/>
    <w:rsid w:val="00EB5AD6"/>
    <w:rsid w:val="00EC4C16"/>
    <w:rsid w:val="00ED4B44"/>
    <w:rsid w:val="00EE42B2"/>
    <w:rsid w:val="00EF6766"/>
    <w:rsid w:val="00F163D3"/>
    <w:rsid w:val="00F315E3"/>
    <w:rsid w:val="00F370CD"/>
    <w:rsid w:val="00F444AA"/>
    <w:rsid w:val="00F4646F"/>
    <w:rsid w:val="00F464E0"/>
    <w:rsid w:val="00F657D1"/>
    <w:rsid w:val="00F81C4D"/>
    <w:rsid w:val="00F85818"/>
    <w:rsid w:val="00F90541"/>
    <w:rsid w:val="00FA37A9"/>
    <w:rsid w:val="00FC3BE5"/>
    <w:rsid w:val="00FD06AF"/>
    <w:rsid w:val="00FD24E6"/>
    <w:rsid w:val="00FD7D4C"/>
    <w:rsid w:val="00FE5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5593"/>
    <w:pPr>
      <w:spacing w:after="200" w:line="276" w:lineRule="auto"/>
    </w:pPr>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5593"/>
    <w:rPr>
      <w:color w:val="0000FF" w:themeColor="hyperlink"/>
      <w:u w:val="single"/>
    </w:rPr>
  </w:style>
  <w:style w:type="character" w:customStyle="1" w:styleId="NoSpacingChar">
    <w:name w:val="No Spacing Char"/>
    <w:basedOn w:val="DefaultParagraphFont"/>
    <w:link w:val="NoSpacing"/>
    <w:uiPriority w:val="1"/>
    <w:locked/>
    <w:rsid w:val="00405593"/>
    <w:rPr>
      <w:rFonts w:ascii="Calibri" w:hAnsi="Calibri"/>
      <w:lang w:val="en-US"/>
    </w:rPr>
  </w:style>
  <w:style w:type="paragraph" w:styleId="NoSpacing">
    <w:name w:val="No Spacing"/>
    <w:link w:val="NoSpacingChar"/>
    <w:uiPriority w:val="1"/>
    <w:qFormat/>
    <w:rsid w:val="00405593"/>
    <w:rPr>
      <w:rFonts w:ascii="Calibri" w:hAnsi="Calibri"/>
      <w:lang w:val="en-US"/>
    </w:rPr>
  </w:style>
  <w:style w:type="paragraph" w:styleId="ListParagraph">
    <w:name w:val="List Paragraph"/>
    <w:basedOn w:val="Normal"/>
    <w:uiPriority w:val="34"/>
    <w:qFormat/>
    <w:rsid w:val="00D02C02"/>
    <w:pPr>
      <w:ind w:left="720"/>
      <w:contextualSpacing/>
    </w:pPr>
  </w:style>
  <w:style w:type="table" w:styleId="TableGrid">
    <w:name w:val="Table Grid"/>
    <w:basedOn w:val="TableNormal"/>
    <w:rsid w:val="00C03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B07E9"/>
    <w:pPr>
      <w:tabs>
        <w:tab w:val="center" w:pos="4513"/>
        <w:tab w:val="right" w:pos="9026"/>
      </w:tabs>
      <w:spacing w:after="0" w:line="240" w:lineRule="auto"/>
    </w:pPr>
  </w:style>
  <w:style w:type="character" w:customStyle="1" w:styleId="HeaderChar">
    <w:name w:val="Header Char"/>
    <w:basedOn w:val="DefaultParagraphFont"/>
    <w:link w:val="Header"/>
    <w:rsid w:val="007B07E9"/>
    <w:rPr>
      <w:rFonts w:asciiTheme="minorHAnsi" w:eastAsiaTheme="minorEastAsia" w:hAnsiTheme="minorHAnsi" w:cstheme="minorBidi"/>
      <w:sz w:val="22"/>
      <w:szCs w:val="22"/>
    </w:rPr>
  </w:style>
  <w:style w:type="paragraph" w:styleId="Footer">
    <w:name w:val="footer"/>
    <w:basedOn w:val="Normal"/>
    <w:link w:val="FooterChar"/>
    <w:rsid w:val="007B07E9"/>
    <w:pPr>
      <w:tabs>
        <w:tab w:val="center" w:pos="4513"/>
        <w:tab w:val="right" w:pos="9026"/>
      </w:tabs>
      <w:spacing w:after="0" w:line="240" w:lineRule="auto"/>
    </w:pPr>
  </w:style>
  <w:style w:type="character" w:customStyle="1" w:styleId="FooterChar">
    <w:name w:val="Footer Char"/>
    <w:basedOn w:val="DefaultParagraphFont"/>
    <w:link w:val="Footer"/>
    <w:rsid w:val="007B07E9"/>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5593"/>
    <w:pPr>
      <w:spacing w:after="200" w:line="276" w:lineRule="auto"/>
    </w:pPr>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5593"/>
    <w:rPr>
      <w:color w:val="0000FF" w:themeColor="hyperlink"/>
      <w:u w:val="single"/>
    </w:rPr>
  </w:style>
  <w:style w:type="character" w:customStyle="1" w:styleId="NoSpacingChar">
    <w:name w:val="No Spacing Char"/>
    <w:basedOn w:val="DefaultParagraphFont"/>
    <w:link w:val="NoSpacing"/>
    <w:uiPriority w:val="1"/>
    <w:locked/>
    <w:rsid w:val="00405593"/>
    <w:rPr>
      <w:rFonts w:ascii="Calibri" w:hAnsi="Calibri"/>
      <w:lang w:val="en-US"/>
    </w:rPr>
  </w:style>
  <w:style w:type="paragraph" w:styleId="NoSpacing">
    <w:name w:val="No Spacing"/>
    <w:link w:val="NoSpacingChar"/>
    <w:uiPriority w:val="1"/>
    <w:qFormat/>
    <w:rsid w:val="00405593"/>
    <w:rPr>
      <w:rFonts w:ascii="Calibri" w:hAnsi="Calibri"/>
      <w:lang w:val="en-US"/>
    </w:rPr>
  </w:style>
  <w:style w:type="paragraph" w:styleId="ListParagraph">
    <w:name w:val="List Paragraph"/>
    <w:basedOn w:val="Normal"/>
    <w:uiPriority w:val="34"/>
    <w:qFormat/>
    <w:rsid w:val="00D02C02"/>
    <w:pPr>
      <w:ind w:left="720"/>
      <w:contextualSpacing/>
    </w:pPr>
  </w:style>
  <w:style w:type="table" w:styleId="TableGrid">
    <w:name w:val="Table Grid"/>
    <w:basedOn w:val="TableNormal"/>
    <w:rsid w:val="00C03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B07E9"/>
    <w:pPr>
      <w:tabs>
        <w:tab w:val="center" w:pos="4513"/>
        <w:tab w:val="right" w:pos="9026"/>
      </w:tabs>
      <w:spacing w:after="0" w:line="240" w:lineRule="auto"/>
    </w:pPr>
  </w:style>
  <w:style w:type="character" w:customStyle="1" w:styleId="HeaderChar">
    <w:name w:val="Header Char"/>
    <w:basedOn w:val="DefaultParagraphFont"/>
    <w:link w:val="Header"/>
    <w:rsid w:val="007B07E9"/>
    <w:rPr>
      <w:rFonts w:asciiTheme="minorHAnsi" w:eastAsiaTheme="minorEastAsia" w:hAnsiTheme="minorHAnsi" w:cstheme="minorBidi"/>
      <w:sz w:val="22"/>
      <w:szCs w:val="22"/>
    </w:rPr>
  </w:style>
  <w:style w:type="paragraph" w:styleId="Footer">
    <w:name w:val="footer"/>
    <w:basedOn w:val="Normal"/>
    <w:link w:val="FooterChar"/>
    <w:rsid w:val="007B07E9"/>
    <w:pPr>
      <w:tabs>
        <w:tab w:val="center" w:pos="4513"/>
        <w:tab w:val="right" w:pos="9026"/>
      </w:tabs>
      <w:spacing w:after="0" w:line="240" w:lineRule="auto"/>
    </w:pPr>
  </w:style>
  <w:style w:type="character" w:customStyle="1" w:styleId="FooterChar">
    <w:name w:val="Footer Char"/>
    <w:basedOn w:val="DefaultParagraphFont"/>
    <w:link w:val="Footer"/>
    <w:rsid w:val="007B07E9"/>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31683">
      <w:bodyDiv w:val="1"/>
      <w:marLeft w:val="0"/>
      <w:marRight w:val="0"/>
      <w:marTop w:val="0"/>
      <w:marBottom w:val="0"/>
      <w:divBdr>
        <w:top w:val="none" w:sz="0" w:space="0" w:color="auto"/>
        <w:left w:val="none" w:sz="0" w:space="0" w:color="auto"/>
        <w:bottom w:val="none" w:sz="0" w:space="0" w:color="auto"/>
        <w:right w:val="none" w:sz="0" w:space="0" w:color="auto"/>
      </w:divBdr>
    </w:div>
    <w:div w:id="257954398">
      <w:bodyDiv w:val="1"/>
      <w:marLeft w:val="0"/>
      <w:marRight w:val="0"/>
      <w:marTop w:val="0"/>
      <w:marBottom w:val="0"/>
      <w:divBdr>
        <w:top w:val="none" w:sz="0" w:space="0" w:color="auto"/>
        <w:left w:val="none" w:sz="0" w:space="0" w:color="auto"/>
        <w:bottom w:val="none" w:sz="0" w:space="0" w:color="auto"/>
        <w:right w:val="none" w:sz="0" w:space="0" w:color="auto"/>
      </w:divBdr>
    </w:div>
    <w:div w:id="359933170">
      <w:bodyDiv w:val="1"/>
      <w:marLeft w:val="0"/>
      <w:marRight w:val="0"/>
      <w:marTop w:val="0"/>
      <w:marBottom w:val="0"/>
      <w:divBdr>
        <w:top w:val="none" w:sz="0" w:space="0" w:color="auto"/>
        <w:left w:val="none" w:sz="0" w:space="0" w:color="auto"/>
        <w:bottom w:val="none" w:sz="0" w:space="0" w:color="auto"/>
        <w:right w:val="none" w:sz="0" w:space="0" w:color="auto"/>
      </w:divBdr>
    </w:div>
    <w:div w:id="109670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http://www.gscsolicitors.com/uploads/profiles/a74eecc3d6cad5021dc0dabaa06f12d7.jp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scsolicitors.com"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mixcloud.com/Resonance/the-workplace-9th-february-2017/"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gscsolicitors.com/profiles/show/id/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theguardian.com/women-in-leadership/women-leadership-blog/2014/jan/24/equal-pay-case-birmingham-city-council-fallou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60CE0-2A32-4675-83A9-F5AD2ACAB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7</Pages>
  <Words>2572</Words>
  <Characters>14654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Saxby</dc:creator>
  <cp:lastModifiedBy>Karen Saxby</cp:lastModifiedBy>
  <cp:revision>21</cp:revision>
  <cp:lastPrinted>2017-09-04T09:27:00Z</cp:lastPrinted>
  <dcterms:created xsi:type="dcterms:W3CDTF">2017-08-15T11:17:00Z</dcterms:created>
  <dcterms:modified xsi:type="dcterms:W3CDTF">2017-09-12T11:20:00Z</dcterms:modified>
</cp:coreProperties>
</file>